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115E5" w:rsidRPr="003841FA" w:rsidRDefault="00000000" w:rsidP="003841FA">
      <w:pPr>
        <w:tabs>
          <w:tab w:val="left" w:pos="2775"/>
          <w:tab w:val="left" w:pos="2970"/>
          <w:tab w:val="center" w:pos="5103"/>
        </w:tabs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MODELO PREENCHIDO ETP</w:t>
      </w:r>
      <w:r w:rsidRPr="003841FA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– LEI 14.133/21</w:t>
      </w:r>
    </w:p>
    <w:p w14:paraId="00000002" w14:textId="77777777" w:rsidR="00F115E5" w:rsidRPr="003841FA" w:rsidRDefault="00000000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</w:t>
      </w:r>
    </w:p>
    <w:p w14:paraId="72EE98EC" w14:textId="32CDB55A" w:rsidR="00D5518F" w:rsidRPr="00D5518F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DESCRIÇÃO DA NECESSIDADE DA CONTRATAÇÃO </w:t>
      </w:r>
    </w:p>
    <w:p w14:paraId="5CBDF32B" w14:textId="77777777" w:rsidR="0052084C" w:rsidRPr="009A1585" w:rsidRDefault="0052084C" w:rsidP="0052084C">
      <w:pPr>
        <w:suppressAutoHyphens w:val="0"/>
        <w:spacing w:before="100" w:beforeAutospacing="1" w:after="0" w:line="240" w:lineRule="auto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52084C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A contratação se mostra necessária em virtude da obrigatoriedade legal de elaboração do Plano Municipal de Gestão Integrada de Resíduos Sólidos (PMGIRS), conforme disposto na Lei Federal nº 12.305/2010, Decreto Federal nº 7.404/2010 e orientações do Tribunal de Contas do Estado de Santa Catarina, o qual requisitou a adoção de providências para regularização da gestão municipal dos resíduos sólidos.</w:t>
      </w:r>
    </w:p>
    <w:p w14:paraId="3078012D" w14:textId="77777777" w:rsidR="0052084C" w:rsidRPr="009A1585" w:rsidRDefault="0052084C" w:rsidP="0052084C">
      <w:pPr>
        <w:suppressAutoHyphens w:val="0"/>
        <w:spacing w:after="0" w:line="240" w:lineRule="auto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52084C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O Município de Papanduva/SC possui população estimada em 19.150 habitantes (IBGE, 2022) e realiza atualmente a coleta regular de resíduos domiciliares e a coleta seletiva, com apoio de uma associação local de recicladores. Entretanto, não há dados consolidados referentes à quantidade e composição dos resíduos, rotas e custos operacionais, taxas de reaproveitamento e rejeito, condições de destinação final e sustentabilidade econômico-financeira do sistema.</w:t>
      </w:r>
    </w:p>
    <w:p w14:paraId="77774E5C" w14:textId="7EDAF1B7" w:rsidR="0052084C" w:rsidRPr="0052084C" w:rsidRDefault="0052084C" w:rsidP="0052084C">
      <w:pPr>
        <w:suppressAutoHyphens w:val="0"/>
        <w:spacing w:line="240" w:lineRule="auto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52084C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Dessa forma, torna-se necessária a contratação de empresa especializada para realizar o diagnóstico técnico, o prognóstico, a elaboração de programas e metas, a modelagem de sustentabilidade financeira e a redação das Minutas de Leis correlatas, possibilitando o planejamento ambiental, operacional e econômico da gestão municipal de resíduos sólidos.</w:t>
      </w:r>
    </w:p>
    <w:p w14:paraId="0000000D" w14:textId="77777777" w:rsidR="00F115E5" w:rsidRPr="009A1585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A1585">
        <w:rPr>
          <w:rFonts w:asciiTheme="majorHAnsi" w:hAnsiTheme="majorHAnsi" w:cstheme="majorHAnsi"/>
          <w:b/>
          <w:color w:val="000000"/>
          <w:sz w:val="24"/>
          <w:szCs w:val="24"/>
        </w:rPr>
        <w:t>DEMONSTRAÇÃO DA PREVISÃO DA CONTRATAÇÃO NO PLANO DE CONTRATAÇÕES ANUAL</w:t>
      </w:r>
    </w:p>
    <w:p w14:paraId="0000000E" w14:textId="14A5FCF6" w:rsidR="00F115E5" w:rsidRPr="009A1585" w:rsidRDefault="00000000" w:rsidP="00D5518F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A1585">
        <w:rPr>
          <w:rFonts w:asciiTheme="majorHAnsi" w:hAnsiTheme="majorHAnsi" w:cstheme="majorHAnsi"/>
          <w:color w:val="000000"/>
          <w:sz w:val="24"/>
          <w:szCs w:val="24"/>
        </w:rPr>
        <w:t>Não se aplica em virtude da ausência de um plano anual de contratações.</w:t>
      </w:r>
    </w:p>
    <w:p w14:paraId="0000000F" w14:textId="77777777" w:rsidR="00F115E5" w:rsidRPr="009A1585" w:rsidRDefault="00F115E5" w:rsidP="003841FA">
      <w:pPr>
        <w:spacing w:after="0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F8493A1" w14:textId="77777777" w:rsidR="007F15B7" w:rsidRDefault="00000000" w:rsidP="007F15B7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9A1585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REQUISITOS DA CONTRATAÇÃO</w:t>
      </w:r>
    </w:p>
    <w:p w14:paraId="4BE76FE4" w14:textId="77777777" w:rsidR="00CC61DF" w:rsidRDefault="00CC61DF" w:rsidP="00CC61DF">
      <w:pPr>
        <w:ind w:leftChars="0" w:left="0" w:firstLineChars="0" w:firstLine="720"/>
        <w:rPr>
          <w:rFonts w:asciiTheme="majorHAnsi" w:hAnsiTheme="majorHAnsi" w:cstheme="majorHAnsi"/>
        </w:rPr>
      </w:pPr>
      <w:r w:rsidRPr="00CC61DF">
        <w:rPr>
          <w:rFonts w:asciiTheme="majorHAnsi" w:hAnsiTheme="majorHAnsi" w:cstheme="majorHAnsi"/>
        </w:rPr>
        <w:t>A empresa contratada deverá apresentar equipe multidisciplinar composta por profissionais qualificados em Engenharia Ambiental ou Sanitária, Biologia, Geoprocessamento, Economia/Finanças Públicas, Ciências Sociais e área jurídica, de modo a atender plenamente às exigências técnicas e legais do Plano Municipal de Gestão Integrada de Resíduos Sólidos (PMGIRS) e das respectivas Minutas de Lei.</w:t>
      </w:r>
    </w:p>
    <w:p w14:paraId="3EB01F5B" w14:textId="2FD6F097" w:rsidR="00CC61DF" w:rsidRPr="00CC61DF" w:rsidRDefault="00CC61DF" w:rsidP="00CC61DF">
      <w:pPr>
        <w:pStyle w:val="PargrafodaLista"/>
        <w:numPr>
          <w:ilvl w:val="1"/>
          <w:numId w:val="1"/>
        </w:numPr>
        <w:ind w:leftChars="0" w:firstLineChars="0"/>
        <w:rPr>
          <w:rFonts w:asciiTheme="majorHAnsi" w:hAnsiTheme="majorHAnsi" w:cstheme="majorHAnsi"/>
        </w:rPr>
      </w:pPr>
      <w:r w:rsidRPr="00CC61DF">
        <w:rPr>
          <w:rFonts w:asciiTheme="majorHAnsi" w:hAnsiTheme="majorHAnsi" w:cstheme="majorHAnsi"/>
        </w:rPr>
        <w:t>O objeto da contratação exige:</w:t>
      </w:r>
    </w:p>
    <w:p w14:paraId="05AFC380" w14:textId="1FBB55D5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Diagnóstico técnico completo do sistema municipal de gestão de resíduos, incluindo o levantamento de dados primários e secundários, fluxos operacionais e custos.</w:t>
      </w:r>
    </w:p>
    <w:p w14:paraId="42EBA605" w14:textId="77777777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Caracterização gravimétrica estratificada, contemplando os principais segmentos geradores (domiciliar, comercial, rural, público e RCC).</w:t>
      </w:r>
    </w:p>
    <w:p w14:paraId="654CE136" w14:textId="77777777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Mapeamento operacional das rotas de coleta, frequências, custos e desempenho logístico.</w:t>
      </w:r>
    </w:p>
    <w:p w14:paraId="1449AD20" w14:textId="77777777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Participação social estruturada, contemplando oficinas de nivelamento e audiências públicas para validação das etapas do PMGIRS.</w:t>
      </w:r>
    </w:p>
    <w:p w14:paraId="69835194" w14:textId="77777777" w:rsid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Elaboração das minutas legislativas referentes à Política Municipal de Resíduos Sólidos e ao Gerenciamento de Grandes Geradores.</w:t>
      </w:r>
    </w:p>
    <w:p w14:paraId="36C84B11" w14:textId="77777777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Diagnóstico institucional e socioeconômico da associação de recicladores, avaliando sua estrutura organizacional, capacidade operacional, gestão financeira e administrativa, bem como o potencial de ampliação das atividades diante do aumento previsto no volume de recicláveis após campanhas de educação ambiental e mobilização comunitária.</w:t>
      </w:r>
    </w:p>
    <w:p w14:paraId="3CF49AAD" w14:textId="77777777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O estudo deverá identificar limitações e propor ações de fortalecimento, reestruturação ou ampliação da associação, incluindo a possibilidade de criação de novas associações ou parcerias com empresas privadas, de modo a garantir maior eficiência na triagem, comercialização e gestão financeira dos materiais recicláveis.</w:t>
      </w:r>
    </w:p>
    <w:p w14:paraId="315C2370" w14:textId="78B6038C" w:rsidR="00CC61DF" w:rsidRPr="00CC61DF" w:rsidRDefault="00CC61DF" w:rsidP="00CC61DF">
      <w:pPr>
        <w:numPr>
          <w:ilvl w:val="0"/>
          <w:numId w:val="42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lastRenderedPageBreak/>
        <w:t>Deverá também analisar a viabilidade de um modelo híbrido de gestão, que integre a participação dos recicladores locais com o suporte técnico e operacional de empresas privadas especializadas, permitindo melhor controle da produção, rastreabilidade, sustentabilidade econômica e ampliação da inclusão socioprodutiva de pessoas de baixa renda no sistema de coleta seletiva.</w:t>
      </w:r>
    </w:p>
    <w:p w14:paraId="6977EECC" w14:textId="77777777" w:rsidR="00CC61DF" w:rsidRPr="00CC61DF" w:rsidRDefault="00CC61DF" w:rsidP="00CC61DF">
      <w:pPr>
        <w:spacing w:after="0"/>
        <w:ind w:leftChars="0" w:left="720" w:firstLineChars="0" w:firstLine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Requisitos de metodologia e forma de entrega</w:t>
      </w:r>
    </w:p>
    <w:p w14:paraId="3911029E" w14:textId="77777777" w:rsidR="00CC61DF" w:rsidRPr="00CC61DF" w:rsidRDefault="00CC61DF" w:rsidP="00CC61DF">
      <w:pPr>
        <w:numPr>
          <w:ilvl w:val="0"/>
          <w:numId w:val="43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O plano deverá seguir a estrutura mínima exigida pelo art. 19 da Lei 12.305/2010, incluindo relatórios de diagnóstico, prognóstico, programas, metas, indicadores e mecanismos de monitoramento e avaliação.</w:t>
      </w:r>
    </w:p>
    <w:p w14:paraId="5C9E4090" w14:textId="77777777" w:rsidR="00CC61DF" w:rsidRPr="00CC61DF" w:rsidRDefault="00CC61DF" w:rsidP="00CC61DF">
      <w:pPr>
        <w:numPr>
          <w:ilvl w:val="0"/>
          <w:numId w:val="43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 xml:space="preserve">Os produtos deverão ser entregues em formato digital editável (Word, Excel e </w:t>
      </w:r>
      <w:proofErr w:type="spellStart"/>
      <w:r w:rsidRPr="00CC61DF">
        <w:rPr>
          <w:rFonts w:asciiTheme="majorHAnsi" w:hAnsiTheme="majorHAnsi" w:cstheme="majorHAnsi"/>
          <w:bCs/>
        </w:rPr>
        <w:t>shapefile</w:t>
      </w:r>
      <w:proofErr w:type="spellEnd"/>
      <w:r w:rsidRPr="00CC61DF">
        <w:rPr>
          <w:rFonts w:asciiTheme="majorHAnsi" w:hAnsiTheme="majorHAnsi" w:cstheme="majorHAnsi"/>
          <w:bCs/>
        </w:rPr>
        <w:t>/SIG) e em duas vias impressas devidamente encadernadas.</w:t>
      </w:r>
    </w:p>
    <w:p w14:paraId="3E1FB3FF" w14:textId="77777777" w:rsidR="00CC61DF" w:rsidRPr="00CC61DF" w:rsidRDefault="00CC61DF" w:rsidP="00CC61DF">
      <w:pPr>
        <w:numPr>
          <w:ilvl w:val="0"/>
          <w:numId w:val="43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Todos os relatórios deverão conter mapas, planilhas e demais registros técnicos que comprovem os levantamentos e análises realizados.</w:t>
      </w:r>
    </w:p>
    <w:p w14:paraId="4BD457F7" w14:textId="29C96FFD" w:rsidR="00CC61DF" w:rsidRPr="00CC61DF" w:rsidRDefault="00CC61DF" w:rsidP="00CC61DF">
      <w:pPr>
        <w:pStyle w:val="PargrafodaLista"/>
        <w:numPr>
          <w:ilvl w:val="1"/>
          <w:numId w:val="1"/>
        </w:numPr>
        <w:ind w:leftChars="0" w:firstLineChars="0"/>
        <w:rPr>
          <w:rFonts w:asciiTheme="majorHAnsi" w:hAnsiTheme="majorHAnsi" w:cstheme="majorHAnsi"/>
        </w:rPr>
      </w:pPr>
      <w:r w:rsidRPr="00CC61DF">
        <w:rPr>
          <w:rFonts w:asciiTheme="majorHAnsi" w:hAnsiTheme="majorHAnsi" w:cstheme="majorHAnsi"/>
        </w:rPr>
        <w:t>Requisito de cronograma e participação</w:t>
      </w:r>
    </w:p>
    <w:p w14:paraId="2C3F8A2E" w14:textId="77777777" w:rsidR="00CC61DF" w:rsidRPr="00CC61DF" w:rsidRDefault="00CC61DF" w:rsidP="00CC61DF">
      <w:pPr>
        <w:numPr>
          <w:ilvl w:val="0"/>
          <w:numId w:val="44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A empresa deverá apresentar Plano de Trabalho com cronograma detalhado, especificando etapas, prazos, responsáveis e produtos intermediários.</w:t>
      </w:r>
    </w:p>
    <w:p w14:paraId="1CA4CC52" w14:textId="77777777" w:rsidR="00CC61DF" w:rsidRPr="00CC61DF" w:rsidRDefault="00CC61DF" w:rsidP="00CC61DF">
      <w:pPr>
        <w:numPr>
          <w:ilvl w:val="0"/>
          <w:numId w:val="44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Deverá promover, no mínimo, uma Oficina de Nivelamento com a equipe técnica municipal e uma Audiência Pública para validação e apresentação dos resultados à sociedade, garantindo o registro de presença e a sistematização das contribuições recebidas.</w:t>
      </w:r>
    </w:p>
    <w:p w14:paraId="0900461B" w14:textId="6EA943BA" w:rsidR="00CC61DF" w:rsidRPr="00CC61DF" w:rsidRDefault="00CC61DF" w:rsidP="00CC61DF">
      <w:pPr>
        <w:pStyle w:val="PargrafodaLista"/>
        <w:numPr>
          <w:ilvl w:val="1"/>
          <w:numId w:val="1"/>
        </w:numPr>
        <w:ind w:leftChars="0" w:firstLineChars="0"/>
        <w:rPr>
          <w:rFonts w:asciiTheme="majorHAnsi" w:hAnsiTheme="majorHAnsi" w:cstheme="majorHAnsi"/>
        </w:rPr>
      </w:pPr>
      <w:r w:rsidRPr="00CC61DF">
        <w:rPr>
          <w:rFonts w:asciiTheme="majorHAnsi" w:hAnsiTheme="majorHAnsi" w:cstheme="majorHAnsi"/>
        </w:rPr>
        <w:t>Normas e legislações a observar</w:t>
      </w:r>
    </w:p>
    <w:p w14:paraId="6A8E2FAE" w14:textId="77777777" w:rsidR="00CC61DF" w:rsidRPr="00CC61DF" w:rsidRDefault="00CC61DF" w:rsidP="00CC61DF">
      <w:pPr>
        <w:spacing w:after="0"/>
        <w:ind w:leftChars="0" w:left="720" w:firstLineChars="0" w:firstLine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O trabalho deverá observar integralmente:</w:t>
      </w:r>
    </w:p>
    <w:p w14:paraId="6BC8170D" w14:textId="77777777" w:rsidR="00CC61DF" w:rsidRPr="00CC61DF" w:rsidRDefault="00CC61DF" w:rsidP="00CC61DF">
      <w:pPr>
        <w:numPr>
          <w:ilvl w:val="0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As normas técnicas da ABNT aplicáveis: NBR 10004 (Classificação de Resíduos), NBR 10007 (Amostragem de Resíduos Sólidos), NBR 13896 (Aterros de Resíduos Não Perigosos), NBR 15114 e NBR 15115 (Reciclagem de RCC).</w:t>
      </w:r>
    </w:p>
    <w:p w14:paraId="76293CB0" w14:textId="77777777" w:rsidR="00CC61DF" w:rsidRPr="00CC61DF" w:rsidRDefault="00CC61DF" w:rsidP="00CC61DF">
      <w:pPr>
        <w:numPr>
          <w:ilvl w:val="0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As diretrizes do Manual de Elaboração do PMGIRS do Ministério do Meio Ambiente.</w:t>
      </w:r>
    </w:p>
    <w:p w14:paraId="270A2C97" w14:textId="77777777" w:rsidR="00CC61DF" w:rsidRPr="00CC61DF" w:rsidRDefault="00CC61DF" w:rsidP="00CC61DF">
      <w:pPr>
        <w:numPr>
          <w:ilvl w:val="0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A legislação correlata, incluindo:</w:t>
      </w:r>
    </w:p>
    <w:p w14:paraId="4C5D720C" w14:textId="77777777" w:rsidR="00CC61DF" w:rsidRPr="00CC61DF" w:rsidRDefault="00CC61DF" w:rsidP="00CC61DF">
      <w:pPr>
        <w:numPr>
          <w:ilvl w:val="1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Lei nº 12.305/2010 – Política Nacional de Resíduos Sólidos;</w:t>
      </w:r>
    </w:p>
    <w:p w14:paraId="37ED245B" w14:textId="77777777" w:rsidR="00CC61DF" w:rsidRPr="00CC61DF" w:rsidRDefault="00CC61DF" w:rsidP="00CC61DF">
      <w:pPr>
        <w:numPr>
          <w:ilvl w:val="1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Decreto nº 10.936/2022 – Regulamenta a PNRS;</w:t>
      </w:r>
    </w:p>
    <w:p w14:paraId="1F98836A" w14:textId="77777777" w:rsidR="00CC61DF" w:rsidRPr="00CC61DF" w:rsidRDefault="00CC61DF" w:rsidP="00CC61DF">
      <w:pPr>
        <w:numPr>
          <w:ilvl w:val="1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Lei nº 11.445/2007 – Política Nacional de Saneamento Básico;</w:t>
      </w:r>
    </w:p>
    <w:p w14:paraId="38F63082" w14:textId="77777777" w:rsidR="00CC61DF" w:rsidRPr="00CC61DF" w:rsidRDefault="00CC61DF" w:rsidP="00CC61DF">
      <w:pPr>
        <w:numPr>
          <w:ilvl w:val="1"/>
          <w:numId w:val="45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Código Estadual do Meio Ambiente de Santa Catarina (Lei nº 14.675/2009).</w:t>
      </w:r>
    </w:p>
    <w:p w14:paraId="09455B99" w14:textId="6F5E73C8" w:rsidR="00CC61DF" w:rsidRPr="00CC61DF" w:rsidRDefault="00CC61DF" w:rsidP="00CC61DF">
      <w:pPr>
        <w:pStyle w:val="PargrafodaLista"/>
        <w:numPr>
          <w:ilvl w:val="1"/>
          <w:numId w:val="1"/>
        </w:numPr>
        <w:ind w:leftChars="0" w:firstLineChars="0"/>
        <w:rPr>
          <w:rFonts w:asciiTheme="majorHAnsi" w:hAnsiTheme="majorHAnsi" w:cstheme="majorHAnsi"/>
        </w:rPr>
      </w:pPr>
      <w:r w:rsidRPr="00CC61DF">
        <w:rPr>
          <w:rFonts w:asciiTheme="majorHAnsi" w:hAnsiTheme="majorHAnsi" w:cstheme="majorHAnsi"/>
        </w:rPr>
        <w:t>Prazo de vigência e horizonte do plano</w:t>
      </w:r>
    </w:p>
    <w:p w14:paraId="44D7B60D" w14:textId="77777777" w:rsidR="00CC61DF" w:rsidRPr="00CC61DF" w:rsidRDefault="00CC61DF" w:rsidP="00CC61DF">
      <w:pPr>
        <w:numPr>
          <w:ilvl w:val="0"/>
          <w:numId w:val="46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O PMGIRS deverá possuir horizonte de planejamento de 20 (vinte) anos, contemplando metas e diretrizes de curto, médio e longo prazo.</w:t>
      </w:r>
    </w:p>
    <w:p w14:paraId="226FF6C7" w14:textId="77777777" w:rsidR="00CC61DF" w:rsidRPr="00CC61DF" w:rsidRDefault="00CC61DF" w:rsidP="00CC61DF">
      <w:pPr>
        <w:numPr>
          <w:ilvl w:val="0"/>
          <w:numId w:val="46"/>
        </w:numPr>
        <w:spacing w:after="0"/>
        <w:ind w:leftChars="0" w:firstLineChars="0"/>
        <w:rPr>
          <w:rFonts w:asciiTheme="majorHAnsi" w:hAnsiTheme="majorHAnsi" w:cstheme="majorHAnsi"/>
          <w:bCs/>
        </w:rPr>
      </w:pPr>
      <w:r w:rsidRPr="00CC61DF">
        <w:rPr>
          <w:rFonts w:asciiTheme="majorHAnsi" w:hAnsiTheme="majorHAnsi" w:cstheme="majorHAnsi"/>
          <w:bCs/>
        </w:rPr>
        <w:t>O plano deverá prever revisões quadrienais, em sinergia com o Plano Plurianual (PPA) e demais instrumentos de planejamento municipal.</w:t>
      </w:r>
    </w:p>
    <w:p w14:paraId="789B582C" w14:textId="77777777" w:rsidR="00D25152" w:rsidRPr="00D25152" w:rsidRDefault="00D25152" w:rsidP="00D25152">
      <w:pPr>
        <w:spacing w:after="0"/>
        <w:ind w:leftChars="0" w:left="720" w:firstLineChars="0" w:firstLine="0"/>
        <w:rPr>
          <w:rFonts w:asciiTheme="majorHAnsi" w:hAnsiTheme="majorHAnsi" w:cstheme="majorHAnsi"/>
        </w:rPr>
      </w:pPr>
    </w:p>
    <w:p w14:paraId="00000025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ESTIMATIVAS DAS QUANTIDADES PARA A CONTRATAÇÃO </w:t>
      </w:r>
    </w:p>
    <w:p w14:paraId="0000002A" w14:textId="179ED001" w:rsidR="00F115E5" w:rsidRDefault="00D25152" w:rsidP="00D25152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25152">
        <w:rPr>
          <w:rFonts w:asciiTheme="majorHAnsi" w:hAnsiTheme="majorHAnsi" w:cstheme="majorHAnsi"/>
          <w:color w:val="000000"/>
          <w:sz w:val="24"/>
          <w:szCs w:val="24"/>
        </w:rPr>
        <w:t xml:space="preserve">A contratação refere-se à elaboração de </w:t>
      </w:r>
      <w:r w:rsidRPr="00D25152">
        <w:rPr>
          <w:rFonts w:asciiTheme="majorHAnsi" w:hAnsiTheme="majorHAnsi" w:cstheme="majorHAnsi"/>
          <w:b/>
          <w:bCs/>
          <w:color w:val="000000"/>
          <w:sz w:val="24"/>
          <w:szCs w:val="24"/>
        </w:rPr>
        <w:t>01 (um) PMGIRS completo</w:t>
      </w:r>
      <w:r w:rsidRPr="00D25152">
        <w:rPr>
          <w:rFonts w:asciiTheme="majorHAnsi" w:hAnsiTheme="majorHAnsi" w:cstheme="majorHAnsi"/>
          <w:color w:val="000000"/>
          <w:sz w:val="24"/>
          <w:szCs w:val="24"/>
        </w:rPr>
        <w:t>, incluindo suas etapas, anexos técnicos, mapas, planilhas e minutas de lei.</w:t>
      </w:r>
    </w:p>
    <w:p w14:paraId="5DA0ABAD" w14:textId="77777777" w:rsidR="00D25152" w:rsidRPr="003841FA" w:rsidRDefault="00D25152" w:rsidP="00D25152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2B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LEVANTAMENTO DE MERCADO</w:t>
      </w:r>
    </w:p>
    <w:p w14:paraId="2303EDA9" w14:textId="7505A40A" w:rsidR="005057E4" w:rsidRDefault="00D25152" w:rsidP="00D25152">
      <w:pPr>
        <w:spacing w:after="0"/>
        <w:ind w:leftChars="0" w:left="0" w:firstLineChars="0" w:firstLine="36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25152">
        <w:rPr>
          <w:rFonts w:asciiTheme="majorHAnsi" w:hAnsiTheme="majorHAnsi" w:cstheme="majorHAnsi"/>
          <w:color w:val="000000"/>
          <w:sz w:val="24"/>
          <w:szCs w:val="24"/>
        </w:rPr>
        <w:t xml:space="preserve">Será realizado mediante consulta a </w:t>
      </w:r>
      <w:r w:rsidRPr="00D25152">
        <w:rPr>
          <w:rFonts w:asciiTheme="majorHAnsi" w:hAnsiTheme="majorHAnsi" w:cstheme="majorHAnsi"/>
          <w:b/>
          <w:bCs/>
          <w:color w:val="000000"/>
          <w:sz w:val="24"/>
          <w:szCs w:val="24"/>
        </w:rPr>
        <w:t>Planos Municipais de Resíduos Sólidos</w:t>
      </w:r>
      <w:r w:rsidRPr="00D25152">
        <w:rPr>
          <w:rFonts w:asciiTheme="majorHAnsi" w:hAnsiTheme="majorHAnsi" w:cstheme="majorHAnsi"/>
          <w:color w:val="000000"/>
          <w:sz w:val="24"/>
          <w:szCs w:val="24"/>
        </w:rPr>
        <w:t xml:space="preserve"> contratados recentemente por municípios de porte semelhante, bem como pesquisa de preços junto a empresas especializadas.</w:t>
      </w:r>
    </w:p>
    <w:p w14:paraId="7C1F3B53" w14:textId="77777777" w:rsidR="00D25152" w:rsidRDefault="00D25152" w:rsidP="00D25152">
      <w:pPr>
        <w:spacing w:after="0"/>
        <w:ind w:leftChars="0" w:left="0" w:firstLineChars="0" w:firstLine="0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43E9A256" w14:textId="77777777" w:rsidR="00D25152" w:rsidRPr="005057E4" w:rsidRDefault="00D25152" w:rsidP="00D25152">
      <w:pPr>
        <w:spacing w:after="0"/>
        <w:ind w:leftChars="0" w:left="0" w:firstLineChars="0" w:firstLine="0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3B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ESTIMATIVA DO VALOR DA CONTRATAÇÃO </w:t>
      </w:r>
    </w:p>
    <w:p w14:paraId="0000003F" w14:textId="6AFF4284" w:rsidR="00F115E5" w:rsidRPr="003841FA" w:rsidRDefault="005057E4" w:rsidP="003841FA">
      <w:pPr>
        <w:spacing w:after="0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color w:val="000000"/>
          <w:sz w:val="24"/>
          <w:szCs w:val="24"/>
          <w:highlight w:val="red"/>
        </w:rPr>
        <w:lastRenderedPageBreak/>
        <w:t xml:space="preserve">De início, estima-se a contratação no valor de R$ </w:t>
      </w:r>
      <w:r w:rsidRPr="003841FA">
        <w:rPr>
          <w:rFonts w:asciiTheme="majorHAnsi" w:hAnsiTheme="majorHAnsi" w:cstheme="majorHAnsi"/>
          <w:b/>
          <w:bCs/>
          <w:color w:val="000000"/>
          <w:sz w:val="24"/>
          <w:szCs w:val="24"/>
          <w:highlight w:val="red"/>
        </w:rPr>
        <w:t>XX.XXX,00</w:t>
      </w:r>
      <w:r w:rsidRPr="003841FA">
        <w:rPr>
          <w:rFonts w:asciiTheme="majorHAnsi" w:hAnsiTheme="majorHAnsi" w:cstheme="majorHAnsi"/>
          <w:color w:val="000000"/>
          <w:sz w:val="24"/>
          <w:szCs w:val="24"/>
          <w:highlight w:val="red"/>
        </w:rPr>
        <w:t>.</w:t>
      </w:r>
      <w:r w:rsidRPr="003841FA">
        <w:rPr>
          <w:rFonts w:asciiTheme="majorHAnsi" w:hAnsiTheme="majorHAnsi" w:cstheme="majorHAnsi"/>
          <w:color w:val="000000"/>
          <w:sz w:val="24"/>
          <w:szCs w:val="24"/>
          <w:highlight w:val="red"/>
        </w:rPr>
        <w:br/>
        <w:t xml:space="preserve">Os valores foram estimados com base em contratos similares em municípios da região, valores referenciais de sondagens SPT, inventários florestais e levantamentos </w:t>
      </w:r>
      <w:proofErr w:type="gramStart"/>
      <w:r w:rsidRPr="003841FA">
        <w:rPr>
          <w:rFonts w:asciiTheme="majorHAnsi" w:hAnsiTheme="majorHAnsi" w:cstheme="majorHAnsi"/>
          <w:color w:val="000000"/>
          <w:sz w:val="24"/>
          <w:szCs w:val="24"/>
          <w:highlight w:val="red"/>
        </w:rPr>
        <w:t>topográfico</w:t>
      </w:r>
      <w:r w:rsidR="00146EC3">
        <w:rPr>
          <w:rFonts w:asciiTheme="majorHAnsi" w:hAnsiTheme="majorHAnsi" w:cstheme="majorHAnsi"/>
          <w:color w:val="000000"/>
          <w:sz w:val="24"/>
          <w:szCs w:val="24"/>
          <w:highlight w:val="red"/>
        </w:rPr>
        <w:t xml:space="preserve"> </w:t>
      </w:r>
      <w:r w:rsidRPr="003841FA">
        <w:rPr>
          <w:rFonts w:asciiTheme="majorHAnsi" w:hAnsiTheme="majorHAnsi" w:cstheme="majorHAnsi"/>
          <w:color w:val="000000"/>
          <w:sz w:val="24"/>
          <w:szCs w:val="24"/>
          <w:highlight w:val="red"/>
        </w:rPr>
        <w:t>s</w:t>
      </w:r>
      <w:proofErr w:type="gramEnd"/>
      <w:r w:rsidRPr="003841FA">
        <w:rPr>
          <w:rFonts w:asciiTheme="majorHAnsi" w:hAnsiTheme="majorHAnsi" w:cstheme="majorHAnsi"/>
          <w:color w:val="000000"/>
          <w:sz w:val="24"/>
          <w:szCs w:val="24"/>
          <w:highlight w:val="red"/>
        </w:rPr>
        <w:t xml:space="preserve"> especializados.</w:t>
      </w:r>
    </w:p>
    <w:p w14:paraId="03B32FC5" w14:textId="77777777" w:rsidR="00C0439F" w:rsidRPr="003841FA" w:rsidRDefault="00C0439F" w:rsidP="003841FA">
      <w:pPr>
        <w:spacing w:after="0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40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DESCRIÇÃO DA SOLUÇÃO COMO UM TODO</w:t>
      </w:r>
    </w:p>
    <w:p w14:paraId="4F488CB8" w14:textId="6E0ED3D1" w:rsidR="00D25152" w:rsidRPr="005057E4" w:rsidRDefault="00D25152" w:rsidP="00D25152">
      <w:pPr>
        <w:suppressAutoHyphens w:val="0"/>
        <w:spacing w:before="100" w:beforeAutospacing="1" w:after="100" w:afterAutospacing="1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D25152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A solução consiste na contratação de empresa especializada, que deverá elaborar o PMGIRS de forma técnica, participativa e alinhada à realidade municipal, possibilitando planejamento operacional e financeiro e garantindo conformidade com a legislação ambiental e com as diretrizes do TCE/SC.</w:t>
      </w:r>
    </w:p>
    <w:p w14:paraId="537EB766" w14:textId="77777777" w:rsidR="005057E4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JUSTIFICATIVAS PARA O PARCELAMENTO OU NÃO DA CONTRATAÇÃO</w:t>
      </w:r>
    </w:p>
    <w:p w14:paraId="45D2AE73" w14:textId="7B780D9A" w:rsidR="005057E4" w:rsidRPr="00D25152" w:rsidRDefault="00D25152" w:rsidP="00D5518F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sz w:val="24"/>
          <w:szCs w:val="24"/>
        </w:rPr>
      </w:pPr>
      <w:r w:rsidRPr="00D25152">
        <w:rPr>
          <w:rFonts w:asciiTheme="majorHAnsi" w:hAnsiTheme="majorHAnsi" w:cstheme="majorHAnsi"/>
          <w:sz w:val="24"/>
          <w:szCs w:val="24"/>
        </w:rPr>
        <w:t>Não se recomenda o parcelamento da contratação, uma vez que o objeto é técnica e metodologicamente integrado, exigindo execução multidisciplinar coordenada e contínua. O parcelamento comprometeria a coerência e a rastreabilidade técnica do PMGIRS.</w:t>
      </w:r>
    </w:p>
    <w:p w14:paraId="00000051" w14:textId="77777777" w:rsidR="00F115E5" w:rsidRPr="003841FA" w:rsidRDefault="00F115E5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52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DEMONSTRATIVO DOS RESULTADOS PRETENDIDOS </w:t>
      </w:r>
    </w:p>
    <w:p w14:paraId="69144BA5" w14:textId="77777777" w:rsidR="00CC61DF" w:rsidRPr="00CC61DF" w:rsidRDefault="00CC61DF" w:rsidP="00CC61DF">
      <w:pPr>
        <w:spacing w:after="0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A contratação visa proporcionar ao Município de Papanduva/SC os seguintes resultados concretos, técnicos e institucionais, em conformidade com a Política Nacional de Resíduos Sólidos (Lei nº 12.305/2010) e demais legislações correlatas:</w:t>
      </w:r>
    </w:p>
    <w:p w14:paraId="4AA6ED14" w14:textId="676BFB34" w:rsidR="00CC61DF" w:rsidRPr="00C939FA" w:rsidRDefault="00CC61DF" w:rsidP="00C939FA">
      <w:pPr>
        <w:pStyle w:val="PargrafodaLista"/>
        <w:numPr>
          <w:ilvl w:val="1"/>
          <w:numId w:val="1"/>
        </w:numPr>
        <w:ind w:leftChars="0" w:firstLineChars="0"/>
        <w:jc w:val="both"/>
        <w:rPr>
          <w:rFonts w:asciiTheme="majorHAnsi" w:hAnsiTheme="majorHAnsi" w:cstheme="majorHAnsi"/>
          <w:bCs w:val="0"/>
          <w:szCs w:val="24"/>
        </w:rPr>
      </w:pPr>
      <w:r w:rsidRPr="00C939FA">
        <w:rPr>
          <w:rFonts w:asciiTheme="majorHAnsi" w:hAnsiTheme="majorHAnsi" w:cstheme="majorHAnsi"/>
          <w:bCs w:val="0"/>
          <w:szCs w:val="24"/>
        </w:rPr>
        <w:t xml:space="preserve"> Resultados Técnicos e Operacionais</w:t>
      </w:r>
    </w:p>
    <w:p w14:paraId="00E206F0" w14:textId="77777777" w:rsidR="00CC61DF" w:rsidRPr="00C939FA" w:rsidRDefault="00CC61DF" w:rsidP="00C939FA">
      <w:pPr>
        <w:pStyle w:val="PargrafodaLista"/>
        <w:numPr>
          <w:ilvl w:val="0"/>
          <w:numId w:val="52"/>
        </w:numPr>
        <w:ind w:leftChars="0" w:firstLineChars="0"/>
        <w:jc w:val="both"/>
        <w:rPr>
          <w:rFonts w:asciiTheme="majorHAnsi" w:hAnsiTheme="majorHAnsi" w:cstheme="majorHAnsi"/>
          <w:szCs w:val="24"/>
        </w:rPr>
      </w:pPr>
      <w:r w:rsidRPr="00C939FA">
        <w:rPr>
          <w:rFonts w:asciiTheme="majorHAnsi" w:hAnsiTheme="majorHAnsi" w:cstheme="majorHAnsi"/>
          <w:szCs w:val="24"/>
        </w:rPr>
        <w:t>Elaboração de um diagnóstico técnico completo e atualizado do sistema municipal de limpeza urbana e manejo de resíduos sólidos, abrangendo coleta, transporte, triagem, tratamento e disposição final.</w:t>
      </w:r>
    </w:p>
    <w:p w14:paraId="7A30E386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Padronização e georreferenciamento dos dados de coleta, geração e destinação, permitindo integração ao Sistema Nacional de Informações sobre Saneamento (SNIS) e aos relatórios de controle ambiental.</w:t>
      </w:r>
    </w:p>
    <w:p w14:paraId="409590AE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Identificação das ineficiências operacionais e financeiras do sistema atual, subsidiando decisões mais assertivas de gestão e investimento.</w:t>
      </w:r>
    </w:p>
    <w:p w14:paraId="44DC321C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Proposição de soluções técnicas viáveis para o tratamento, reaproveitamento e destinação final dos resíduos, com base em critérios de sustentabilidade ambiental e econômica.</w:t>
      </w:r>
    </w:p>
    <w:p w14:paraId="4E7B4047" w14:textId="1629A7D1" w:rsidR="00CC61DF" w:rsidRPr="00C939FA" w:rsidRDefault="00CC61DF" w:rsidP="00C939FA">
      <w:pPr>
        <w:pStyle w:val="PargrafodaLista"/>
        <w:numPr>
          <w:ilvl w:val="1"/>
          <w:numId w:val="1"/>
        </w:numPr>
        <w:ind w:leftChars="0" w:firstLineChars="0"/>
        <w:jc w:val="both"/>
        <w:rPr>
          <w:rFonts w:asciiTheme="majorHAnsi" w:hAnsiTheme="majorHAnsi" w:cstheme="majorHAnsi"/>
          <w:szCs w:val="24"/>
        </w:rPr>
      </w:pPr>
      <w:r w:rsidRPr="00C939FA">
        <w:rPr>
          <w:rFonts w:asciiTheme="majorHAnsi" w:hAnsiTheme="majorHAnsi" w:cstheme="majorHAnsi"/>
          <w:szCs w:val="24"/>
        </w:rPr>
        <w:t>Resultados Ambientais</w:t>
      </w:r>
      <w:r w:rsidR="00C939FA" w:rsidRPr="00C939FA">
        <w:rPr>
          <w:rFonts w:asciiTheme="majorHAnsi" w:hAnsiTheme="majorHAnsi" w:cstheme="majorHAnsi"/>
          <w:szCs w:val="24"/>
        </w:rPr>
        <w:t>:</w:t>
      </w:r>
    </w:p>
    <w:p w14:paraId="695DB10B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Redução progressiva da quantidade de resíduos destinados a aterros e aumento da taxa de reciclagem e reaproveitamento de materiais.</w:t>
      </w:r>
    </w:p>
    <w:p w14:paraId="4A5DD740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Diminuição da ocorrência de disposição irregular de resíduos em áreas rurais, margens de rios e terrenos baldios.</w:t>
      </w:r>
    </w:p>
    <w:p w14:paraId="0D178D71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Melhoria dos indicadores de qualidade ambiental urbana e rural, conforme metas a serem definidas no PMGIRS.</w:t>
      </w:r>
    </w:p>
    <w:p w14:paraId="5B99DDB3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Fortalecimento da educação ambiental e da conscientização da população sobre a importância da segregação na origem e da coleta seletiva.</w:t>
      </w:r>
    </w:p>
    <w:p w14:paraId="38DAF7F7" w14:textId="1CAC2DB3" w:rsidR="00CC61DF" w:rsidRPr="00C939FA" w:rsidRDefault="00CC61DF" w:rsidP="00C939FA">
      <w:pPr>
        <w:pStyle w:val="PargrafodaLista"/>
        <w:numPr>
          <w:ilvl w:val="1"/>
          <w:numId w:val="1"/>
        </w:numPr>
        <w:ind w:leftChars="0" w:firstLineChars="0"/>
        <w:jc w:val="both"/>
        <w:rPr>
          <w:rFonts w:asciiTheme="majorHAnsi" w:hAnsiTheme="majorHAnsi" w:cstheme="majorHAnsi"/>
          <w:szCs w:val="24"/>
        </w:rPr>
      </w:pPr>
      <w:r w:rsidRPr="00C939FA">
        <w:rPr>
          <w:rFonts w:asciiTheme="majorHAnsi" w:hAnsiTheme="majorHAnsi" w:cstheme="majorHAnsi"/>
          <w:szCs w:val="24"/>
        </w:rPr>
        <w:t>Resultados Sociais e Econômicos</w:t>
      </w:r>
    </w:p>
    <w:p w14:paraId="436793B3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Diagnóstico aprofundado da associação de recicladores, com propostas de fortalecimento organizacional e de gestão financeira, e análise da viabilidade de modelos híbridos de operação (associação + empresa privada).</w:t>
      </w:r>
    </w:p>
    <w:p w14:paraId="779A131D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lastRenderedPageBreak/>
        <w:t>Inclusão socioprodutiva de pessoas de baixa renda, com geração de trabalho e renda por meio da valorização dos resíduos recicláveis.</w:t>
      </w:r>
    </w:p>
    <w:p w14:paraId="6CDC3E9C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Criação de novas oportunidades econômicas locais, fomentando o mercado de materiais recicláveis e estimulando a economia circular.</w:t>
      </w:r>
    </w:p>
    <w:p w14:paraId="585AE945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Melhoria da eficiência financeira do sistema municipal, por meio da modelagem de custos e da proposta de mecanismos de cobrança (taxa ou tarifa) compatíveis com a realidade local.</w:t>
      </w:r>
    </w:p>
    <w:p w14:paraId="32B3ECFC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Ampliação da transparência e do controle social sobre a gestão dos resíduos, com a realização de oficinas, audiências públicas e divulgação dos resultados do plano.</w:t>
      </w:r>
    </w:p>
    <w:p w14:paraId="3B974F1F" w14:textId="77777777" w:rsidR="00CC61DF" w:rsidRPr="00C939FA" w:rsidRDefault="00CC61DF" w:rsidP="00C939FA">
      <w:pPr>
        <w:pStyle w:val="PargrafodaLista"/>
        <w:numPr>
          <w:ilvl w:val="0"/>
          <w:numId w:val="52"/>
        </w:numPr>
        <w:ind w:leftChars="0" w:firstLineChars="0"/>
        <w:jc w:val="both"/>
        <w:rPr>
          <w:rFonts w:asciiTheme="majorHAnsi" w:hAnsiTheme="majorHAnsi" w:cstheme="majorHAnsi"/>
          <w:szCs w:val="24"/>
        </w:rPr>
      </w:pPr>
      <w:r w:rsidRPr="00C939FA">
        <w:rPr>
          <w:rFonts w:asciiTheme="majorHAnsi" w:hAnsiTheme="majorHAnsi" w:cstheme="majorHAnsi"/>
          <w:szCs w:val="24"/>
        </w:rPr>
        <w:t>d) Resultados Institucionais</w:t>
      </w:r>
    </w:p>
    <w:p w14:paraId="36C32E5B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Atendimento às exigências legais e às recomendações do Tribunal de Contas do Estado de Santa Catarina (TCE/SC), quanto à existência e implementação do PMGIRS.</w:t>
      </w:r>
    </w:p>
    <w:p w14:paraId="78D62795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Integração entre as secretarias municipais envolvidas (Meio Ambiente, Infraestrutura, Administração, Educação, Agricultura, entre outras) em um sistema de governança unificado para o tema de resíduos.</w:t>
      </w:r>
    </w:p>
    <w:p w14:paraId="4AB966C1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Melhoria da capacidade técnica da administração municipal, por meio do nivelamento das equipes e da padronização dos processos de coleta e gestão de informações.</w:t>
      </w:r>
    </w:p>
    <w:p w14:paraId="45A7DC0B" w14:textId="77777777" w:rsidR="00CC61DF" w:rsidRPr="00CC61DF" w:rsidRDefault="00CC61DF" w:rsidP="00C939FA">
      <w:pPr>
        <w:numPr>
          <w:ilvl w:val="0"/>
          <w:numId w:val="52"/>
        </w:numPr>
        <w:spacing w:after="0"/>
        <w:ind w:leftChars="0" w:firstLineChars="0"/>
        <w:jc w:val="both"/>
        <w:rPr>
          <w:rFonts w:asciiTheme="majorHAnsi" w:hAnsiTheme="majorHAnsi" w:cstheme="majorHAnsi"/>
          <w:sz w:val="24"/>
          <w:szCs w:val="24"/>
        </w:rPr>
      </w:pPr>
      <w:r w:rsidRPr="00CC61DF">
        <w:rPr>
          <w:rFonts w:asciiTheme="majorHAnsi" w:hAnsiTheme="majorHAnsi" w:cstheme="majorHAnsi"/>
          <w:sz w:val="24"/>
          <w:szCs w:val="24"/>
        </w:rPr>
        <w:t>Criação de base técnica sólida para captação de recursos estaduais e federais voltados à infraestrutura e sustentabilidade ambiental.</w:t>
      </w:r>
    </w:p>
    <w:p w14:paraId="0000005A" w14:textId="77777777" w:rsidR="00F115E5" w:rsidRPr="003841FA" w:rsidRDefault="00F115E5" w:rsidP="003841FA">
      <w:pPr>
        <w:spacing w:after="0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5B" w14:textId="77777777" w:rsidR="00F115E5" w:rsidRPr="003841FA" w:rsidRDefault="00000000" w:rsidP="003841FA">
      <w:pPr>
        <w:numPr>
          <w:ilvl w:val="0"/>
          <w:numId w:val="1"/>
        </w:numPr>
        <w:spacing w:after="0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PROVIDÊNCIAS A SEREM ADOTADAS PELA ADMINISTRAÇÃO PREVIAMENTE À CELEBRAÇÃO DO CONTRATO</w:t>
      </w:r>
    </w:p>
    <w:p w14:paraId="16DBC3AB" w14:textId="5A183C65" w:rsidR="008F726F" w:rsidRDefault="008F726F" w:rsidP="008F726F">
      <w:pPr>
        <w:spacing w:after="0"/>
        <w:ind w:leftChars="0" w:left="0" w:firstLineChars="0" w:firstLine="720"/>
        <w:jc w:val="both"/>
        <w:rPr>
          <w:rFonts w:asciiTheme="majorHAnsi" w:eastAsia="Times New Roman" w:hAnsiTheme="majorHAnsi" w:cstheme="majorHAnsi"/>
          <w:bCs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bCs/>
          <w:position w:val="0"/>
          <w:sz w:val="24"/>
          <w:szCs w:val="24"/>
          <w:lang w:eastAsia="pt-BR"/>
        </w:rPr>
        <w:t>A Administração deverá formalizar Portaria de instituição do Grupo de Trabalho Intersetorial, que acompanhará e validará as etapas de elaboração do PMGIRS</w:t>
      </w:r>
      <w:r>
        <w:rPr>
          <w:rFonts w:asciiTheme="majorHAnsi" w:eastAsia="Times New Roman" w:hAnsiTheme="majorHAnsi" w:cstheme="majorHAnsi"/>
          <w:bCs/>
          <w:position w:val="0"/>
          <w:sz w:val="24"/>
          <w:szCs w:val="24"/>
          <w:lang w:eastAsia="pt-BR"/>
        </w:rPr>
        <w:t>.</w:t>
      </w:r>
    </w:p>
    <w:p w14:paraId="032BE262" w14:textId="77777777" w:rsidR="008F726F" w:rsidRPr="008F726F" w:rsidRDefault="008F726F" w:rsidP="008F726F">
      <w:pPr>
        <w:spacing w:after="0"/>
        <w:ind w:leftChars="0" w:left="0" w:firstLineChars="0" w:firstLine="720"/>
        <w:jc w:val="both"/>
        <w:rPr>
          <w:rFonts w:asciiTheme="majorHAnsi" w:eastAsia="Times New Roman" w:hAnsiTheme="majorHAnsi" w:cstheme="majorHAnsi"/>
          <w:bCs/>
          <w:position w:val="0"/>
          <w:sz w:val="24"/>
          <w:szCs w:val="24"/>
          <w:lang w:eastAsia="pt-BR"/>
        </w:rPr>
      </w:pPr>
    </w:p>
    <w:p w14:paraId="00000062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CONTRATAÇÕES CORRELATAS E/OU INTERDEPENDENTES</w:t>
      </w:r>
    </w:p>
    <w:p w14:paraId="68078EEB" w14:textId="52A5C7AB" w:rsidR="00025D68" w:rsidRPr="003841FA" w:rsidRDefault="008F726F" w:rsidP="00D5518F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sz w:val="24"/>
          <w:szCs w:val="24"/>
        </w:rPr>
      </w:pPr>
      <w:r w:rsidRPr="008F726F">
        <w:rPr>
          <w:rFonts w:asciiTheme="majorHAnsi" w:hAnsiTheme="majorHAnsi" w:cstheme="majorHAnsi"/>
          <w:sz w:val="24"/>
          <w:szCs w:val="24"/>
        </w:rPr>
        <w:t xml:space="preserve">Não há contratações correlatas ou interdependentes no </w:t>
      </w:r>
      <w:proofErr w:type="gramStart"/>
      <w:r w:rsidRPr="008F726F">
        <w:rPr>
          <w:rFonts w:asciiTheme="majorHAnsi" w:hAnsiTheme="majorHAnsi" w:cstheme="majorHAnsi"/>
          <w:sz w:val="24"/>
          <w:szCs w:val="24"/>
        </w:rPr>
        <w:t>momento.</w:t>
      </w:r>
      <w:r w:rsidR="00025D68" w:rsidRPr="003841FA">
        <w:rPr>
          <w:rFonts w:asciiTheme="majorHAnsi" w:hAnsiTheme="majorHAnsi" w:cstheme="majorHAnsi"/>
          <w:sz w:val="24"/>
          <w:szCs w:val="24"/>
        </w:rPr>
        <w:t>.</w:t>
      </w:r>
      <w:proofErr w:type="gramEnd"/>
    </w:p>
    <w:p w14:paraId="55ACA80F" w14:textId="77777777" w:rsidR="00025D68" w:rsidRPr="003841FA" w:rsidRDefault="00025D68" w:rsidP="003841FA">
      <w:pPr>
        <w:spacing w:after="0"/>
        <w:ind w:leftChars="0" w:left="0" w:firstLineChars="0" w:firstLine="0"/>
        <w:jc w:val="both"/>
        <w:rPr>
          <w:rFonts w:asciiTheme="majorHAnsi" w:hAnsiTheme="majorHAnsi" w:cstheme="majorHAnsi"/>
          <w:color w:val="FF0000"/>
          <w:sz w:val="24"/>
          <w:szCs w:val="24"/>
        </w:rPr>
      </w:pPr>
    </w:p>
    <w:p w14:paraId="00000069" w14:textId="392734A2" w:rsidR="00F115E5" w:rsidRPr="003841FA" w:rsidRDefault="00000000" w:rsidP="00D5518F">
      <w:pPr>
        <w:pStyle w:val="Ttulo1"/>
        <w:ind w:left="0" w:hanging="2"/>
        <w:rPr>
          <w:rFonts w:asciiTheme="majorHAnsi" w:hAnsiTheme="majorHAnsi" w:cstheme="majorHAnsi"/>
          <w:b/>
          <w:bCs/>
          <w:sz w:val="24"/>
          <w:szCs w:val="24"/>
        </w:rPr>
      </w:pPr>
      <w:r w:rsidRPr="003841FA">
        <w:rPr>
          <w:rFonts w:asciiTheme="majorHAnsi" w:hAnsiTheme="majorHAnsi" w:cstheme="majorHAnsi"/>
          <w:b/>
          <w:bCs/>
          <w:sz w:val="24"/>
          <w:szCs w:val="24"/>
        </w:rPr>
        <w:t>DESCRIÇÃO DE POSSÍVEIS IMPACTOS AMBIENTAIS E RESPECTIVAS MEDIDAS MITIGADORAS</w:t>
      </w:r>
    </w:p>
    <w:p w14:paraId="07AA6ED8" w14:textId="2241CE78" w:rsidR="00E6520A" w:rsidRPr="008F726F" w:rsidRDefault="008F726F" w:rsidP="008F726F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sz w:val="24"/>
          <w:szCs w:val="24"/>
        </w:rPr>
      </w:pPr>
      <w:r w:rsidRPr="008F726F">
        <w:rPr>
          <w:rFonts w:asciiTheme="majorHAnsi" w:hAnsiTheme="majorHAnsi" w:cstheme="majorHAnsi"/>
          <w:sz w:val="24"/>
          <w:szCs w:val="24"/>
        </w:rPr>
        <w:t>Não se vislumbram impactos ambientais decorrentes da contratação, uma vez que se trata de elaboração de planejamento técnico, de natureza documental.</w:t>
      </w:r>
    </w:p>
    <w:p w14:paraId="10C258C1" w14:textId="77777777" w:rsidR="008F726F" w:rsidRPr="003841FA" w:rsidRDefault="008F726F" w:rsidP="008F726F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sz w:val="24"/>
          <w:szCs w:val="24"/>
        </w:rPr>
      </w:pPr>
    </w:p>
    <w:p w14:paraId="0000006D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ANÁLISE DE RISCOS</w:t>
      </w:r>
    </w:p>
    <w:p w14:paraId="523290D3" w14:textId="5BCE52AD" w:rsidR="008F726F" w:rsidRPr="008F726F" w:rsidRDefault="008F726F" w:rsidP="008F726F">
      <w:pPr>
        <w:suppressAutoHyphens w:val="0"/>
        <w:spacing w:after="0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O principal risco está na contratação de empresa sem experiência comprovada na elaboração de PMGIRS, o que pode resultar em diagnóstico incompleto, metas inadequadas e possibilidade de não aceitação do produto pelos órgãos de controle. Para mitigar esse risco, deverá ser exigido na habilitação técnica:</w:t>
      </w:r>
    </w:p>
    <w:p w14:paraId="78EAD54D" w14:textId="77777777" w:rsidR="008F726F" w:rsidRPr="008F726F" w:rsidRDefault="008F726F" w:rsidP="008F726F">
      <w:pPr>
        <w:numPr>
          <w:ilvl w:val="0"/>
          <w:numId w:val="38"/>
        </w:numPr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Atestados de Capacidade Técnica emitidos por entes públicos, comprovando experiência prévia na elaboração de PMGIRS ou instrumentos equivalentes;</w:t>
      </w:r>
    </w:p>
    <w:p w14:paraId="6405E554" w14:textId="77777777" w:rsidR="008F726F" w:rsidRPr="008F726F" w:rsidRDefault="008F726F" w:rsidP="008F726F">
      <w:pPr>
        <w:numPr>
          <w:ilvl w:val="0"/>
          <w:numId w:val="38"/>
        </w:numPr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 xml:space="preserve">Apresentação de </w:t>
      </w:r>
      <w:proofErr w:type="spellStart"/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ARTs</w:t>
      </w:r>
      <w:proofErr w:type="spellEnd"/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 xml:space="preserve"> (ou </w:t>
      </w:r>
      <w:proofErr w:type="spellStart"/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RRTs</w:t>
      </w:r>
      <w:proofErr w:type="spellEnd"/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) vinculadas aos serviços atestados;</w:t>
      </w:r>
    </w:p>
    <w:p w14:paraId="513BB92E" w14:textId="77777777" w:rsidR="008F726F" w:rsidRPr="008F726F" w:rsidRDefault="008F726F" w:rsidP="008F726F">
      <w:pPr>
        <w:numPr>
          <w:ilvl w:val="0"/>
          <w:numId w:val="38"/>
        </w:numPr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Responsável Técnico Engenheiro(a) Ambiental ou Sanitarista, acompanhado de equipe multidisciplinar.</w:t>
      </w:r>
    </w:p>
    <w:p w14:paraId="34230CEB" w14:textId="77777777" w:rsidR="008F726F" w:rsidRDefault="008F726F" w:rsidP="008F726F">
      <w:pPr>
        <w:suppressAutoHyphens w:val="0"/>
        <w:spacing w:after="0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lastRenderedPageBreak/>
        <w:t>Outro risco refere-se à baixa participação social, podendo comprometer a implementação das ações previstas. Para mitigar, o contrato deverá prever oficinas e audiência pública.</w:t>
      </w:r>
      <w:r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 xml:space="preserve"> </w:t>
      </w:r>
    </w:p>
    <w:p w14:paraId="2EF57317" w14:textId="3FB364D2" w:rsidR="008F726F" w:rsidRDefault="008F726F" w:rsidP="008F726F">
      <w:pPr>
        <w:suppressAutoHyphens w:val="0"/>
        <w:spacing w:after="0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  <w:r w:rsidRPr="008F726F"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  <w:t>Há ainda o risco de ausência de dados consolidados sobre o sistema de limpeza urbana. Este será mitigado com a obrigatoriedade de coleta de dados primários, incluindo caracterização gravimétrica e levantamento operacional.</w:t>
      </w:r>
    </w:p>
    <w:p w14:paraId="1BD1D685" w14:textId="77777777" w:rsidR="008F726F" w:rsidRPr="002A504F" w:rsidRDefault="008F726F" w:rsidP="008F726F">
      <w:pPr>
        <w:suppressAutoHyphens w:val="0"/>
        <w:spacing w:after="0"/>
        <w:ind w:leftChars="0" w:left="0" w:firstLineChars="0" w:firstLine="72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eastAsia="pt-BR"/>
        </w:rPr>
      </w:pPr>
    </w:p>
    <w:p w14:paraId="00000077" w14:textId="77777777" w:rsidR="00F115E5" w:rsidRPr="003841FA" w:rsidRDefault="00000000" w:rsidP="00D5518F">
      <w:pPr>
        <w:numPr>
          <w:ilvl w:val="0"/>
          <w:numId w:val="1"/>
        </w:numPr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b/>
          <w:color w:val="000000"/>
          <w:sz w:val="24"/>
          <w:szCs w:val="24"/>
        </w:rPr>
        <w:t>POSICIONAMENTO CONCLUSIVO SOBRE A ADEQUAÇÃO DA CONTRATAÇÃO PARA O ATENDIMENTO DA NECESSIDADE A QUE SE DESTINA</w:t>
      </w:r>
    </w:p>
    <w:p w14:paraId="0000007D" w14:textId="44C2B36A" w:rsidR="00F115E5" w:rsidRPr="006A11B8" w:rsidRDefault="006A11B8" w:rsidP="006A11B8">
      <w:pPr>
        <w:spacing w:after="0"/>
        <w:ind w:leftChars="0" w:left="0" w:firstLineChars="0"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A11B8">
        <w:rPr>
          <w:rFonts w:asciiTheme="majorHAnsi" w:hAnsiTheme="majorHAnsi" w:cstheme="majorHAnsi"/>
          <w:color w:val="000000"/>
          <w:sz w:val="24"/>
          <w:szCs w:val="24"/>
        </w:rPr>
        <w:t>Com base neste Estudo Técnico Preliminar, declara-se viável e necessária a contratação de empresa especializada para elaboração do PMGIRS de Papanduva/SC, por se tratar da solução técnica e institucionalmente mais adequada, atendendo ao interesse público, às obrigações legais e às determinações do Tribunal de Contas do Estado.</w:t>
      </w:r>
    </w:p>
    <w:p w14:paraId="0000007E" w14:textId="77777777" w:rsidR="00F115E5" w:rsidRPr="003841FA" w:rsidRDefault="00F115E5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7F" w14:textId="0293D1FC" w:rsidR="00F115E5" w:rsidRPr="003841FA" w:rsidRDefault="00000000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color w:val="000000"/>
          <w:sz w:val="24"/>
          <w:szCs w:val="24"/>
        </w:rPr>
        <w:t xml:space="preserve">Papanduva, </w:t>
      </w:r>
      <w:r w:rsidR="006A11B8">
        <w:rPr>
          <w:rFonts w:asciiTheme="majorHAnsi" w:hAnsiTheme="majorHAnsi" w:cstheme="majorHAnsi"/>
          <w:color w:val="000000"/>
          <w:sz w:val="24"/>
          <w:szCs w:val="24"/>
        </w:rPr>
        <w:t>11</w:t>
      </w:r>
      <w:r w:rsidRPr="003841FA">
        <w:rPr>
          <w:rFonts w:asciiTheme="majorHAnsi" w:hAnsiTheme="majorHAnsi" w:cstheme="majorHAnsi"/>
          <w:color w:val="000000"/>
          <w:sz w:val="24"/>
          <w:szCs w:val="24"/>
        </w:rPr>
        <w:t xml:space="preserve"> de </w:t>
      </w:r>
      <w:proofErr w:type="spellStart"/>
      <w:r w:rsidR="006A11B8">
        <w:rPr>
          <w:rFonts w:asciiTheme="majorHAnsi" w:hAnsiTheme="majorHAnsi" w:cstheme="majorHAnsi"/>
          <w:color w:val="000000"/>
          <w:sz w:val="24"/>
          <w:szCs w:val="24"/>
        </w:rPr>
        <w:t>movembr</w:t>
      </w:r>
      <w:r w:rsidR="002A504F" w:rsidRPr="003841FA">
        <w:rPr>
          <w:rFonts w:asciiTheme="majorHAnsi" w:hAnsiTheme="majorHAnsi" w:cstheme="majorHAnsi"/>
          <w:color w:val="000000"/>
          <w:sz w:val="24"/>
          <w:szCs w:val="24"/>
        </w:rPr>
        <w:t>o</w:t>
      </w:r>
      <w:proofErr w:type="spellEnd"/>
      <w:r w:rsidRPr="003841FA">
        <w:rPr>
          <w:rFonts w:asciiTheme="majorHAnsi" w:hAnsiTheme="majorHAnsi" w:cstheme="majorHAnsi"/>
          <w:color w:val="000000"/>
          <w:sz w:val="24"/>
          <w:szCs w:val="24"/>
        </w:rPr>
        <w:t xml:space="preserve"> de 2025.</w:t>
      </w:r>
    </w:p>
    <w:p w14:paraId="00000080" w14:textId="77777777" w:rsidR="00F115E5" w:rsidRPr="003841FA" w:rsidRDefault="00F115E5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81" w14:textId="77777777" w:rsidR="00F115E5" w:rsidRPr="003841FA" w:rsidRDefault="00F115E5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82" w14:textId="77777777" w:rsidR="00F115E5" w:rsidRPr="003841FA" w:rsidRDefault="00F115E5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00000083" w14:textId="77777777" w:rsidR="00F115E5" w:rsidRPr="003841FA" w:rsidRDefault="00000000" w:rsidP="003841FA">
      <w:pPr>
        <w:spacing w:after="0"/>
        <w:ind w:left="0" w:hanging="2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3841FA">
        <w:rPr>
          <w:rFonts w:asciiTheme="majorHAnsi" w:hAnsiTheme="majorHAnsi" w:cstheme="majorHAnsi"/>
          <w:color w:val="000000"/>
          <w:sz w:val="24"/>
          <w:szCs w:val="24"/>
        </w:rPr>
        <w:t>______________________________</w:t>
      </w:r>
    </w:p>
    <w:p w14:paraId="00000084" w14:textId="330FA9D4" w:rsidR="00F115E5" w:rsidRPr="003841FA" w:rsidRDefault="006A11B8" w:rsidP="003841FA">
      <w:pPr>
        <w:spacing w:after="0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Paulo César </w:t>
      </w:r>
      <w:proofErr w:type="spellStart"/>
      <w:r>
        <w:rPr>
          <w:rFonts w:asciiTheme="majorHAnsi" w:hAnsiTheme="majorHAnsi" w:cstheme="majorHAnsi"/>
          <w:sz w:val="24"/>
          <w:szCs w:val="24"/>
        </w:rPr>
        <w:t>Oracz</w:t>
      </w:r>
      <w:proofErr w:type="spellEnd"/>
    </w:p>
    <w:p w14:paraId="00000085" w14:textId="38493CC8" w:rsidR="00F115E5" w:rsidRPr="003841FA" w:rsidRDefault="006A11B8" w:rsidP="003841FA">
      <w:pPr>
        <w:spacing w:after="0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Secretario de Desenvolvimento Rural e Meio ambiente</w:t>
      </w:r>
      <w:r w:rsidRPr="003841FA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sectPr w:rsidR="00F115E5" w:rsidRPr="003841FA">
      <w:headerReference w:type="default" r:id="rId8"/>
      <w:footerReference w:type="default" r:id="rId9"/>
      <w:pgSz w:w="11906" w:h="16838"/>
      <w:pgMar w:top="12" w:right="707" w:bottom="1417" w:left="993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7D72" w14:textId="77777777" w:rsidR="00025B8B" w:rsidRDefault="00025B8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40FA425" w14:textId="77777777" w:rsidR="00025B8B" w:rsidRDefault="00025B8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cofont_Spranq_eco_Sans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8" w14:textId="77777777" w:rsidR="00F115E5" w:rsidRDefault="00F115E5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B529D" w14:textId="77777777" w:rsidR="00025B8B" w:rsidRDefault="00025B8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53331FB" w14:textId="77777777" w:rsidR="00025B8B" w:rsidRDefault="00025B8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86" w14:textId="77777777" w:rsidR="00F115E5" w:rsidRDefault="00F115E5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right="-1418" w:hanging="2"/>
      <w:rPr>
        <w:color w:val="000000"/>
      </w:rPr>
    </w:pPr>
  </w:p>
  <w:p w14:paraId="00000087" w14:textId="77777777" w:rsidR="00F115E5" w:rsidRDefault="00F115E5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944"/>
    <w:multiLevelType w:val="multilevel"/>
    <w:tmpl w:val="FA58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910E5"/>
    <w:multiLevelType w:val="multilevel"/>
    <w:tmpl w:val="AF14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0476F"/>
    <w:multiLevelType w:val="multilevel"/>
    <w:tmpl w:val="7FEC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558D0"/>
    <w:multiLevelType w:val="multilevel"/>
    <w:tmpl w:val="F7EA5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96569"/>
    <w:multiLevelType w:val="multilevel"/>
    <w:tmpl w:val="92E85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722A07"/>
    <w:multiLevelType w:val="multilevel"/>
    <w:tmpl w:val="099C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710FFC"/>
    <w:multiLevelType w:val="multilevel"/>
    <w:tmpl w:val="E3E8D8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7" w15:restartNumberingAfterBreak="0">
    <w:nsid w:val="29BD7424"/>
    <w:multiLevelType w:val="hybridMultilevel"/>
    <w:tmpl w:val="B6BE069E"/>
    <w:lvl w:ilvl="0" w:tplc="0416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29C5144E"/>
    <w:multiLevelType w:val="multilevel"/>
    <w:tmpl w:val="6B3E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76D8A"/>
    <w:multiLevelType w:val="hybridMultilevel"/>
    <w:tmpl w:val="995A9186"/>
    <w:lvl w:ilvl="0" w:tplc="4E94095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2D531348"/>
    <w:multiLevelType w:val="multilevel"/>
    <w:tmpl w:val="B486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943386"/>
    <w:multiLevelType w:val="multilevel"/>
    <w:tmpl w:val="964ED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694F02"/>
    <w:multiLevelType w:val="hybridMultilevel"/>
    <w:tmpl w:val="DCECD2D2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335869D8"/>
    <w:multiLevelType w:val="multilevel"/>
    <w:tmpl w:val="A13C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221FF0"/>
    <w:multiLevelType w:val="hybridMultilevel"/>
    <w:tmpl w:val="BEF8A442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358325D6"/>
    <w:multiLevelType w:val="multilevel"/>
    <w:tmpl w:val="60F8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98319A"/>
    <w:multiLevelType w:val="multilevel"/>
    <w:tmpl w:val="22C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EB6D8A"/>
    <w:multiLevelType w:val="hybridMultilevel"/>
    <w:tmpl w:val="50CAEA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27F58"/>
    <w:multiLevelType w:val="hybridMultilevel"/>
    <w:tmpl w:val="7318E4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C0825"/>
    <w:multiLevelType w:val="hybridMultilevel"/>
    <w:tmpl w:val="24E615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214607"/>
    <w:multiLevelType w:val="multilevel"/>
    <w:tmpl w:val="811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563FFE"/>
    <w:multiLevelType w:val="multilevel"/>
    <w:tmpl w:val="7088A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F723E2"/>
    <w:multiLevelType w:val="multilevel"/>
    <w:tmpl w:val="8F4A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7B7832"/>
    <w:multiLevelType w:val="multilevel"/>
    <w:tmpl w:val="B602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972B11"/>
    <w:multiLevelType w:val="hybridMultilevel"/>
    <w:tmpl w:val="26E0A680"/>
    <w:lvl w:ilvl="0" w:tplc="0416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586848A8"/>
    <w:multiLevelType w:val="multilevel"/>
    <w:tmpl w:val="47F8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990141"/>
    <w:multiLevelType w:val="multilevel"/>
    <w:tmpl w:val="7C6E0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DC1324"/>
    <w:multiLevelType w:val="hybridMultilevel"/>
    <w:tmpl w:val="EE7253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908EB"/>
    <w:multiLevelType w:val="hybridMultilevel"/>
    <w:tmpl w:val="838AA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A17F1"/>
    <w:multiLevelType w:val="multilevel"/>
    <w:tmpl w:val="654C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0C74F2"/>
    <w:multiLevelType w:val="hybridMultilevel"/>
    <w:tmpl w:val="909E97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B76E6"/>
    <w:multiLevelType w:val="multilevel"/>
    <w:tmpl w:val="583A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BB536A"/>
    <w:multiLevelType w:val="multilevel"/>
    <w:tmpl w:val="93268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EB10B6"/>
    <w:multiLevelType w:val="hybridMultilevel"/>
    <w:tmpl w:val="B68478B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BD139B"/>
    <w:multiLevelType w:val="multilevel"/>
    <w:tmpl w:val="C046E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D17B87"/>
    <w:multiLevelType w:val="multilevel"/>
    <w:tmpl w:val="64EAC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A42BBF"/>
    <w:multiLevelType w:val="multilevel"/>
    <w:tmpl w:val="E5B6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F4177D"/>
    <w:multiLevelType w:val="multilevel"/>
    <w:tmpl w:val="7B6A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CE37DC"/>
    <w:multiLevelType w:val="multilevel"/>
    <w:tmpl w:val="7932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241DC2"/>
    <w:multiLevelType w:val="multilevel"/>
    <w:tmpl w:val="CEEA64A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0" w15:restartNumberingAfterBreak="0">
    <w:nsid w:val="79870C5D"/>
    <w:multiLevelType w:val="multilevel"/>
    <w:tmpl w:val="0E320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372D89"/>
    <w:multiLevelType w:val="multilevel"/>
    <w:tmpl w:val="1E52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4C20ED"/>
    <w:multiLevelType w:val="multilevel"/>
    <w:tmpl w:val="C46A8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107D42"/>
    <w:multiLevelType w:val="multilevel"/>
    <w:tmpl w:val="33B62A7C"/>
    <w:lvl w:ilvl="0">
      <w:start w:val="1"/>
      <w:numFmt w:val="decimal"/>
      <w:pStyle w:val="Commarcador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17329702">
    <w:abstractNumId w:val="39"/>
  </w:num>
  <w:num w:numId="2" w16cid:durableId="389310404">
    <w:abstractNumId w:val="43"/>
  </w:num>
  <w:num w:numId="3" w16cid:durableId="1491725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64498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32135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53810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902256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98858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05004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07985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0214457">
    <w:abstractNumId w:val="32"/>
  </w:num>
  <w:num w:numId="12" w16cid:durableId="98455255">
    <w:abstractNumId w:val="24"/>
  </w:num>
  <w:num w:numId="13" w16cid:durableId="1284190626">
    <w:abstractNumId w:val="5"/>
  </w:num>
  <w:num w:numId="14" w16cid:durableId="2017539512">
    <w:abstractNumId w:val="35"/>
  </w:num>
  <w:num w:numId="15" w16cid:durableId="446701659">
    <w:abstractNumId w:val="42"/>
  </w:num>
  <w:num w:numId="16" w16cid:durableId="737828077">
    <w:abstractNumId w:val="12"/>
  </w:num>
  <w:num w:numId="17" w16cid:durableId="1104690617">
    <w:abstractNumId w:val="14"/>
  </w:num>
  <w:num w:numId="18" w16cid:durableId="318389961">
    <w:abstractNumId w:val="28"/>
  </w:num>
  <w:num w:numId="19" w16cid:durableId="1506940292">
    <w:abstractNumId w:val="34"/>
  </w:num>
  <w:num w:numId="20" w16cid:durableId="1295018843">
    <w:abstractNumId w:val="37"/>
  </w:num>
  <w:num w:numId="21" w16cid:durableId="1234926284">
    <w:abstractNumId w:val="1"/>
  </w:num>
  <w:num w:numId="22" w16cid:durableId="1140608469">
    <w:abstractNumId w:val="20"/>
  </w:num>
  <w:num w:numId="23" w16cid:durableId="735472818">
    <w:abstractNumId w:val="11"/>
  </w:num>
  <w:num w:numId="24" w16cid:durableId="2111965565">
    <w:abstractNumId w:val="18"/>
  </w:num>
  <w:num w:numId="25" w16cid:durableId="1805074975">
    <w:abstractNumId w:val="6"/>
  </w:num>
  <w:num w:numId="26" w16cid:durableId="1248464073">
    <w:abstractNumId w:val="7"/>
  </w:num>
  <w:num w:numId="27" w16cid:durableId="2126774496">
    <w:abstractNumId w:val="17"/>
  </w:num>
  <w:num w:numId="28" w16cid:durableId="481385148">
    <w:abstractNumId w:val="9"/>
  </w:num>
  <w:num w:numId="29" w16cid:durableId="1949582874">
    <w:abstractNumId w:val="31"/>
  </w:num>
  <w:num w:numId="30" w16cid:durableId="143665603">
    <w:abstractNumId w:val="4"/>
  </w:num>
  <w:num w:numId="31" w16cid:durableId="1279871089">
    <w:abstractNumId w:val="0"/>
  </w:num>
  <w:num w:numId="32" w16cid:durableId="1264805573">
    <w:abstractNumId w:val="3"/>
  </w:num>
  <w:num w:numId="33" w16cid:durableId="1219709533">
    <w:abstractNumId w:val="29"/>
  </w:num>
  <w:num w:numId="34" w16cid:durableId="1020283617">
    <w:abstractNumId w:val="30"/>
  </w:num>
  <w:num w:numId="35" w16cid:durableId="154490674">
    <w:abstractNumId w:val="27"/>
  </w:num>
  <w:num w:numId="36" w16cid:durableId="1040203654">
    <w:abstractNumId w:val="23"/>
  </w:num>
  <w:num w:numId="37" w16cid:durableId="1115757766">
    <w:abstractNumId w:val="2"/>
  </w:num>
  <w:num w:numId="38" w16cid:durableId="838665744">
    <w:abstractNumId w:val="15"/>
  </w:num>
  <w:num w:numId="39" w16cid:durableId="1160316513">
    <w:abstractNumId w:val="8"/>
  </w:num>
  <w:num w:numId="40" w16cid:durableId="1130633103">
    <w:abstractNumId w:val="38"/>
  </w:num>
  <w:num w:numId="41" w16cid:durableId="1232347517">
    <w:abstractNumId w:val="40"/>
  </w:num>
  <w:num w:numId="42" w16cid:durableId="208146901">
    <w:abstractNumId w:val="25"/>
  </w:num>
  <w:num w:numId="43" w16cid:durableId="658388915">
    <w:abstractNumId w:val="16"/>
  </w:num>
  <w:num w:numId="44" w16cid:durableId="698162095">
    <w:abstractNumId w:val="41"/>
  </w:num>
  <w:num w:numId="45" w16cid:durableId="871377656">
    <w:abstractNumId w:val="21"/>
  </w:num>
  <w:num w:numId="46" w16cid:durableId="1616516839">
    <w:abstractNumId w:val="10"/>
  </w:num>
  <w:num w:numId="47" w16cid:durableId="843931586">
    <w:abstractNumId w:val="33"/>
  </w:num>
  <w:num w:numId="48" w16cid:durableId="1973628188">
    <w:abstractNumId w:val="26"/>
  </w:num>
  <w:num w:numId="49" w16cid:durableId="1084961627">
    <w:abstractNumId w:val="22"/>
  </w:num>
  <w:num w:numId="50" w16cid:durableId="552082875">
    <w:abstractNumId w:val="36"/>
  </w:num>
  <w:num w:numId="51" w16cid:durableId="5715471">
    <w:abstractNumId w:val="13"/>
  </w:num>
  <w:num w:numId="52" w16cid:durableId="15145634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5E5"/>
    <w:rsid w:val="000217EB"/>
    <w:rsid w:val="00025B8B"/>
    <w:rsid w:val="00025D68"/>
    <w:rsid w:val="000553B1"/>
    <w:rsid w:val="000603C6"/>
    <w:rsid w:val="000D6A3F"/>
    <w:rsid w:val="00146EC3"/>
    <w:rsid w:val="00172936"/>
    <w:rsid w:val="001858C9"/>
    <w:rsid w:val="001A4DAB"/>
    <w:rsid w:val="001C222C"/>
    <w:rsid w:val="002A504F"/>
    <w:rsid w:val="0034606D"/>
    <w:rsid w:val="00350297"/>
    <w:rsid w:val="003841FA"/>
    <w:rsid w:val="003F3505"/>
    <w:rsid w:val="00464FEF"/>
    <w:rsid w:val="00472FA6"/>
    <w:rsid w:val="00490CFD"/>
    <w:rsid w:val="00492FC5"/>
    <w:rsid w:val="005057E4"/>
    <w:rsid w:val="00513342"/>
    <w:rsid w:val="0052084C"/>
    <w:rsid w:val="00542245"/>
    <w:rsid w:val="005A5767"/>
    <w:rsid w:val="00664B3B"/>
    <w:rsid w:val="006752E7"/>
    <w:rsid w:val="00693CE1"/>
    <w:rsid w:val="006A11B8"/>
    <w:rsid w:val="006C319F"/>
    <w:rsid w:val="00734816"/>
    <w:rsid w:val="00743AAA"/>
    <w:rsid w:val="00752A2D"/>
    <w:rsid w:val="007A6667"/>
    <w:rsid w:val="007B4382"/>
    <w:rsid w:val="007B6986"/>
    <w:rsid w:val="007F15B7"/>
    <w:rsid w:val="00855723"/>
    <w:rsid w:val="008F726F"/>
    <w:rsid w:val="00961B8C"/>
    <w:rsid w:val="009A1585"/>
    <w:rsid w:val="00A96D7F"/>
    <w:rsid w:val="00A97F56"/>
    <w:rsid w:val="00AB7BAD"/>
    <w:rsid w:val="00B14B4C"/>
    <w:rsid w:val="00BA170E"/>
    <w:rsid w:val="00C0439F"/>
    <w:rsid w:val="00C226C1"/>
    <w:rsid w:val="00C37D26"/>
    <w:rsid w:val="00C84719"/>
    <w:rsid w:val="00C939FA"/>
    <w:rsid w:val="00CC58CF"/>
    <w:rsid w:val="00CC61DF"/>
    <w:rsid w:val="00CD70BB"/>
    <w:rsid w:val="00D25152"/>
    <w:rsid w:val="00D5518F"/>
    <w:rsid w:val="00D57A4E"/>
    <w:rsid w:val="00D62A70"/>
    <w:rsid w:val="00E46355"/>
    <w:rsid w:val="00E55032"/>
    <w:rsid w:val="00E6520A"/>
    <w:rsid w:val="00E65984"/>
    <w:rsid w:val="00E9659D"/>
    <w:rsid w:val="00EB528B"/>
    <w:rsid w:val="00EF42E8"/>
    <w:rsid w:val="00F115E5"/>
    <w:rsid w:val="00F30125"/>
    <w:rsid w:val="00F31A68"/>
    <w:rsid w:val="00F3701B"/>
    <w:rsid w:val="00F37F0A"/>
    <w:rsid w:val="00F749C9"/>
    <w:rsid w:val="00F921EE"/>
    <w:rsid w:val="00FB36AC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00CE"/>
  <w15:docId w15:val="{7FF166AC-EAC7-4D61-8C08-3EF729C6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ind w:left="-1" w:hanging="1"/>
      <w:jc w:val="both"/>
    </w:pPr>
    <w:rPr>
      <w:rFonts w:ascii="Garamond" w:eastAsia="Times New Roman" w:hAnsi="Garamond" w:cs="Garamond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framePr w:hSpace="141" w:wrap="around" w:vAnchor="text" w:hAnchor="margin" w:xAlign="center" w:y="290"/>
      <w:spacing w:after="0" w:line="240" w:lineRule="auto"/>
      <w:jc w:val="right"/>
      <w:outlineLvl w:val="3"/>
    </w:pPr>
    <w:rPr>
      <w:rFonts w:ascii="Times New Roman" w:eastAsia="Times New Roman" w:hAnsi="Times New Roman"/>
      <w:b/>
      <w:iCs/>
      <w:color w:val="000000"/>
      <w:szCs w:val="24"/>
      <w:lang w:eastAsia="pt-BR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spacing w:before="240" w:after="60" w:line="240" w:lineRule="auto"/>
      <w:ind w:left="4320" w:hanging="720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Ttulo7">
    <w:name w:val="heading 7"/>
    <w:basedOn w:val="Normal"/>
    <w:next w:val="Normal"/>
    <w:qFormat/>
    <w:pPr>
      <w:spacing w:before="240" w:after="60" w:line="240" w:lineRule="auto"/>
      <w:ind w:left="5040" w:hanging="720"/>
      <w:outlineLvl w:val="6"/>
    </w:pPr>
    <w:rPr>
      <w:rFonts w:eastAsia="Times New Roman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qFormat/>
    <w:pPr>
      <w:spacing w:before="240" w:after="60" w:line="240" w:lineRule="auto"/>
      <w:ind w:left="5760" w:hanging="720"/>
      <w:outlineLvl w:val="7"/>
    </w:pPr>
    <w:rPr>
      <w:rFonts w:eastAsia="Times New Roman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qFormat/>
    <w:pPr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t-BR"/>
    </w:rPr>
  </w:style>
  <w:style w:type="paragraph" w:styleId="Cabealho">
    <w:name w:val="header"/>
    <w:basedOn w:val="Normal"/>
    <w:qFormat/>
    <w:pPr>
      <w:spacing w:after="0" w:line="240" w:lineRule="auto"/>
    </w:pPr>
  </w:style>
  <w:style w:type="character" w:customStyle="1" w:styleId="CabealhoChar">
    <w:name w:val="Cabeçalh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spacing w:after="0" w:line="240" w:lineRule="auto"/>
    </w:pPr>
  </w:style>
  <w:style w:type="character" w:customStyle="1" w:styleId="RodapChar">
    <w:name w:val="Rodapé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tulo1Char">
    <w:name w:val="Título 1 Char"/>
    <w:rPr>
      <w:rFonts w:ascii="Garamond" w:eastAsia="Times New Roman" w:hAnsi="Garamond" w:cs="Garamond"/>
      <w:w w:val="100"/>
      <w:position w:val="-1"/>
      <w:szCs w:val="22"/>
      <w:effect w:val="none"/>
      <w:vertAlign w:val="baseline"/>
      <w:cs w:val="0"/>
      <w:em w:val="none"/>
      <w:lang w:eastAsia="en-US"/>
    </w:rPr>
  </w:style>
  <w:style w:type="paragraph" w:customStyle="1" w:styleId="Ttulo21">
    <w:name w:val="Título 21"/>
    <w:basedOn w:val="Normal"/>
    <w:next w:val="Normal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Ttulo31">
    <w:name w:val="Título 31"/>
    <w:basedOn w:val="Normal"/>
    <w:next w:val="Normal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customStyle="1" w:styleId="Ttulo51">
    <w:name w:val="Título 51"/>
    <w:basedOn w:val="Normal"/>
    <w:next w:val="Normal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numbering" w:customStyle="1" w:styleId="Semlista1">
    <w:name w:val="Sem lista1"/>
    <w:next w:val="Semlista"/>
    <w:qFormat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Nmerodepgina">
    <w:name w:val="page numbe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pPr>
      <w:autoSpaceDE w:val="0"/>
      <w:jc w:val="both"/>
    </w:pPr>
    <w:rPr>
      <w:rFonts w:ascii="Courier New" w:hAnsi="Courier New" w:cs="Courier New"/>
      <w:color w:val="000000"/>
      <w:sz w:val="20"/>
    </w:rPr>
  </w:style>
  <w:style w:type="character" w:customStyle="1" w:styleId="CorpodetextoChar">
    <w:name w:val="Corpo de texto Char"/>
    <w:rPr>
      <w:rFonts w:ascii="Courier New" w:eastAsia="Calibri" w:hAnsi="Courier New" w:cs="Courier New"/>
      <w:color w:val="000000"/>
      <w:w w:val="100"/>
      <w:position w:val="-1"/>
      <w:sz w:val="20"/>
      <w:effect w:val="none"/>
      <w:vertAlign w:val="baseline"/>
      <w:cs w:val="0"/>
      <w:em w:val="none"/>
    </w:rPr>
  </w:style>
  <w:style w:type="paragraph" w:customStyle="1" w:styleId="TextosemFormatao1">
    <w:name w:val="Texto sem Formatação1"/>
    <w:basedOn w:val="Normal"/>
    <w:pPr>
      <w:autoSpaceDE w:val="0"/>
    </w:pPr>
    <w:rPr>
      <w:rFonts w:ascii="Courier New" w:hAnsi="Courier New" w:cs="Courier New"/>
      <w:sz w:val="20"/>
    </w:rPr>
  </w:style>
  <w:style w:type="paragraph" w:customStyle="1" w:styleId="Corpodetexto22">
    <w:name w:val="Corpo de texto 22"/>
    <w:basedOn w:val="Normal"/>
    <w:pPr>
      <w:jc w:val="both"/>
    </w:pPr>
    <w:rPr>
      <w:rFonts w:ascii="Arial" w:hAnsi="Arial" w:cs="Arial"/>
      <w:color w:val="000000"/>
    </w:rPr>
  </w:style>
  <w:style w:type="paragraph" w:styleId="Recuodecorpodetexto">
    <w:name w:val="Body Text Indent"/>
    <w:basedOn w:val="Normal"/>
    <w:pPr>
      <w:ind w:left="360"/>
      <w:jc w:val="both"/>
    </w:pPr>
    <w:rPr>
      <w:color w:val="3366FF"/>
    </w:rPr>
  </w:style>
  <w:style w:type="character" w:customStyle="1" w:styleId="RecuodecorpodetextoChar">
    <w:name w:val="Recuo de corpo de texto Char"/>
    <w:rPr>
      <w:rFonts w:ascii="Calibri" w:eastAsia="MS Mincho" w:hAnsi="Calibri" w:cs="Times New Roman"/>
      <w:color w:val="3366FF"/>
      <w:w w:val="100"/>
      <w:position w:val="-1"/>
      <w:effect w:val="none"/>
      <w:vertAlign w:val="baseline"/>
      <w:cs w:val="0"/>
      <w:em w:val="none"/>
    </w:rPr>
  </w:style>
  <w:style w:type="paragraph" w:customStyle="1" w:styleId="PADRAO">
    <w:name w:val="PADRAO"/>
    <w:basedOn w:val="Normal"/>
    <w:pPr>
      <w:jc w:val="both"/>
    </w:pPr>
    <w:rPr>
      <w:rFonts w:ascii="Tms Rmn" w:hAnsi="Tms Rmn" w:cs="Tms Rmn"/>
    </w:rPr>
  </w:style>
  <w:style w:type="paragraph" w:customStyle="1" w:styleId="WW-Padro">
    <w:name w:val="WW-Padrão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" w:eastAsia="Times New Roman" w:hAnsi="Times" w:cs="Times"/>
      <w:position w:val="-1"/>
      <w:szCs w:val="24"/>
      <w:lang w:eastAsia="ar-SA"/>
    </w:rPr>
  </w:style>
  <w:style w:type="paragraph" w:customStyle="1" w:styleId="Normal1">
    <w:name w:val="Normal1"/>
    <w:pPr>
      <w:widowControl w:val="0"/>
      <w:tabs>
        <w:tab w:val="left" w:pos="536"/>
        <w:tab w:val="left" w:pos="2270"/>
        <w:tab w:val="left" w:pos="4294"/>
      </w:tabs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lang w:eastAsia="ar-SA"/>
    </w:rPr>
  </w:style>
  <w:style w:type="paragraph" w:customStyle="1" w:styleId="Normal0">
    <w:name w:val="[Normal]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sz w:val="24"/>
      <w:lang w:val="en-US" w:eastAsia="ar-SA"/>
    </w:rPr>
  </w:style>
  <w:style w:type="paragraph" w:customStyle="1" w:styleId="Normal12">
    <w:name w:val="Normal12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  <w:lang w:eastAsia="ar-SA"/>
    </w:rPr>
  </w:style>
  <w:style w:type="paragraph" w:customStyle="1" w:styleId="A191065">
    <w:name w:val="_A191065"/>
    <w:basedOn w:val="Normal"/>
    <w:pPr>
      <w:ind w:left="1296" w:right="1440" w:firstLine="2592"/>
      <w:jc w:val="both"/>
    </w:pPr>
    <w:rPr>
      <w:rFonts w:ascii="Tms Rmn" w:eastAsia="Times New Roman" w:hAnsi="Tms Rmn"/>
    </w:rPr>
  </w:style>
  <w:style w:type="paragraph" w:customStyle="1" w:styleId="A252575">
    <w:name w:val="_A252575"/>
    <w:basedOn w:val="Normal"/>
    <w:pPr>
      <w:ind w:left="3456" w:firstLine="3456"/>
      <w:jc w:val="both"/>
    </w:pPr>
    <w:rPr>
      <w:rFonts w:ascii="Tms Rmn" w:eastAsia="Times New Roman" w:hAnsi="Tms Rmn"/>
    </w:rPr>
  </w:style>
  <w:style w:type="paragraph" w:customStyle="1" w:styleId="TextosemFormataoPlainText">
    <w:name w:val="Texto sem Formatação;Plain Text"/>
    <w:basedOn w:val="Normal"/>
    <w:rPr>
      <w:rFonts w:ascii="Courier New" w:eastAsia="Times New Roman" w:hAnsi="Courier New"/>
      <w:sz w:val="20"/>
      <w:lang w:eastAsia="pt-BR"/>
    </w:rPr>
  </w:style>
  <w:style w:type="character" w:customStyle="1" w:styleId="TextosemFormataoCharPlainTextChar">
    <w:name w:val="Texto sem Formatação Char;Plain Text Char"/>
    <w:rPr>
      <w:rFonts w:ascii="Courier New" w:eastAsia="Times New Roman" w:hAnsi="Courier New" w:cs="Times New Roman"/>
      <w:w w:val="100"/>
      <w:position w:val="-1"/>
      <w:sz w:val="20"/>
      <w:effect w:val="none"/>
      <w:vertAlign w:val="baseline"/>
      <w:cs w:val="0"/>
      <w:em w:val="none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Ttulo2Char">
    <w:name w:val="Título 2 Char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mbria" w:eastAsia="Times New Roman" w:hAnsi="Cambria" w:cs="Times New Roman"/>
      <w:b/>
      <w:b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Ttulo5Char">
    <w:name w:val="Título 5 Char"/>
    <w:rPr>
      <w:rFonts w:ascii="Cambria" w:eastAsia="Times New Roman" w:hAnsi="Cambria" w:cs="Times New Roman"/>
      <w:color w:val="243F60"/>
      <w:w w:val="100"/>
      <w:position w:val="-1"/>
      <w:effect w:val="none"/>
      <w:vertAlign w:val="baseline"/>
      <w:cs w:val="0"/>
      <w:em w:val="none"/>
    </w:rPr>
  </w:style>
  <w:style w:type="paragraph" w:customStyle="1" w:styleId="Corpodetexto21">
    <w:name w:val="Corpo de texto 21"/>
    <w:basedOn w:val="Normal"/>
    <w:pPr>
      <w:suppressAutoHyphens w:val="0"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1">
    <w:name w:val="11"/>
    <w:basedOn w:val="Normal"/>
    <w:pPr>
      <w:suppressAutoHyphens w:val="0"/>
      <w:spacing w:after="0" w:line="240" w:lineRule="auto"/>
      <w:ind w:left="1701" w:hanging="85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orpodetexto31">
    <w:name w:val="Corpo de texto 31"/>
    <w:basedOn w:val="Normal"/>
    <w:pPr>
      <w:suppressAutoHyphens w:val="0"/>
      <w:spacing w:after="0" w:line="240" w:lineRule="auto"/>
      <w:ind w:right="51"/>
      <w:jc w:val="both"/>
    </w:pPr>
    <w:rPr>
      <w:rFonts w:ascii="Arial" w:eastAsia="Times New Roman" w:hAnsi="Arial"/>
      <w:i/>
      <w:sz w:val="24"/>
      <w:szCs w:val="20"/>
      <w:lang w:eastAsia="ar-SA"/>
    </w:rPr>
  </w:style>
  <w:style w:type="paragraph" w:customStyle="1" w:styleId="Estilo1">
    <w:name w:val="Estilo1"/>
    <w:basedOn w:val="Normal"/>
    <w:pPr>
      <w:suppressAutoHyphens w:val="0"/>
      <w:spacing w:after="120" w:line="360" w:lineRule="auto"/>
      <w:ind w:left="567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Recuodecorpodetexto31">
    <w:name w:val="Recuo de corpo de texto 31"/>
    <w:basedOn w:val="Normal"/>
    <w:pPr>
      <w:suppressAutoHyphens w:val="0"/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Recuodecorpodetexto21">
    <w:name w:val="Recuo de corpo de texto 21"/>
    <w:basedOn w:val="Normal"/>
    <w:pPr>
      <w:suppressAutoHyphens w:val="0"/>
      <w:spacing w:after="0" w:line="240" w:lineRule="auto"/>
      <w:ind w:firstLine="113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321065">
    <w:name w:val="_A321065"/>
    <w:basedOn w:val="Normal"/>
    <w:pPr>
      <w:suppressAutoHyphens w:val="0"/>
      <w:spacing w:after="0" w:line="240" w:lineRule="auto"/>
      <w:ind w:left="1296" w:right="1440" w:firstLine="4464"/>
      <w:jc w:val="both"/>
    </w:pPr>
    <w:rPr>
      <w:rFonts w:ascii="Tms Rmn" w:eastAsia="Times New Roman" w:hAnsi="Tms Rmn"/>
      <w:sz w:val="24"/>
      <w:szCs w:val="20"/>
      <w:lang w:eastAsia="ar-SA"/>
    </w:rPr>
  </w:style>
  <w:style w:type="character" w:customStyle="1" w:styleId="Hyperlink1">
    <w:name w:val="Hyperlink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WW-Padro1">
    <w:name w:val="WW-Padrão1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" w:eastAsia="Times New Roman" w:hAnsi="Times"/>
      <w:position w:val="-1"/>
      <w:szCs w:val="24"/>
      <w:lang w:eastAsia="ar-SA"/>
    </w:rPr>
  </w:style>
  <w:style w:type="character" w:customStyle="1" w:styleId="WW8Num24z3">
    <w:name w:val="WW8Num24z3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 w:line="240" w:lineRule="auto"/>
      <w:ind w:left="720"/>
      <w:contextualSpacing/>
    </w:pPr>
    <w:rPr>
      <w:rFonts w:ascii="Arial" w:eastAsia="Times New Roman" w:hAnsi="Arial" w:cs="Arial"/>
      <w:bCs/>
      <w:sz w:val="24"/>
      <w:szCs w:val="20"/>
      <w:lang w:eastAsia="ar-SA"/>
    </w:rPr>
  </w:style>
  <w:style w:type="paragraph" w:customStyle="1" w:styleId="Textosimples">
    <w:name w:val="Texto simples"/>
    <w:basedOn w:val="Normal"/>
    <w:pPr>
      <w:widowControl w:val="0"/>
      <w:suppressAutoHyphens w:val="0"/>
      <w:spacing w:after="0" w:line="240" w:lineRule="auto"/>
    </w:pPr>
    <w:rPr>
      <w:rFonts w:ascii="Courier New" w:eastAsia="Arial Unicode MS" w:hAnsi="Courier New"/>
      <w:sz w:val="20"/>
      <w:szCs w:val="20"/>
    </w:rPr>
  </w:style>
  <w:style w:type="paragraph" w:customStyle="1" w:styleId="Textopadro1">
    <w:name w:val="Texto padrão:1"/>
    <w:basedOn w:val="Normal"/>
    <w:pPr>
      <w:widowControl w:val="0"/>
      <w:suppressAutoHyphens w:val="0"/>
      <w:spacing w:after="0" w:line="240" w:lineRule="auto"/>
    </w:pPr>
    <w:rPr>
      <w:rFonts w:ascii="Times New Roman" w:eastAsia="Arial Unicode MS" w:hAnsi="Times New Roman"/>
      <w:sz w:val="24"/>
      <w:szCs w:val="24"/>
      <w:lang w:val="en-US"/>
    </w:rPr>
  </w:style>
  <w:style w:type="table" w:styleId="Tabelacomgrade">
    <w:name w:val="Table Grid"/>
    <w:basedOn w:val="Tabela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  <w:lang w:eastAsia="en-US"/>
    </w:rPr>
  </w:style>
  <w:style w:type="paragraph" w:customStyle="1" w:styleId="A101675">
    <w:name w:val="_A101675"/>
    <w:basedOn w:val="Normal"/>
    <w:pPr>
      <w:widowControl w:val="0"/>
      <w:suppressAutoHyphens w:val="0"/>
      <w:spacing w:after="0" w:line="240" w:lineRule="auto"/>
      <w:ind w:left="2160" w:firstLine="1296"/>
      <w:jc w:val="both"/>
    </w:pPr>
    <w:rPr>
      <w:rFonts w:ascii="Tms Rmn" w:eastAsia="Lucida Sans Unicode" w:hAnsi="Tms Rmn"/>
      <w:sz w:val="24"/>
      <w:szCs w:val="24"/>
    </w:rPr>
  </w:style>
  <w:style w:type="paragraph" w:styleId="Pr-formataoHTML">
    <w:name w:val="HTML Preformatted"/>
    <w:basedOn w:val="Normal"/>
    <w:pPr>
      <w:widowControl w:val="0"/>
      <w:suppressAutoHyphens w:val="0"/>
      <w:spacing w:after="0" w:line="240" w:lineRule="auto"/>
    </w:pPr>
    <w:rPr>
      <w:rFonts w:ascii="Courier New" w:eastAsia="Arial Unicode MS" w:hAnsi="Courier New" w:cs="Courier New"/>
      <w:color w:val="000000"/>
      <w:sz w:val="17"/>
      <w:szCs w:val="17"/>
    </w:rPr>
  </w:style>
  <w:style w:type="character" w:customStyle="1" w:styleId="Pr-formataoHTMLChar">
    <w:name w:val="Pré-formatação HTML Char"/>
    <w:rPr>
      <w:rFonts w:ascii="Courier New" w:eastAsia="Arial Unicode MS" w:hAnsi="Courier New" w:cs="Courier New"/>
      <w:color w:val="000000"/>
      <w:w w:val="100"/>
      <w:position w:val="-1"/>
      <w:sz w:val="17"/>
      <w:szCs w:val="17"/>
      <w:effect w:val="none"/>
      <w:vertAlign w:val="baseline"/>
      <w:cs w:val="0"/>
      <w:em w:val="none"/>
    </w:rPr>
  </w:style>
  <w:style w:type="character" w:customStyle="1" w:styleId="Ttulo2Char1">
    <w:name w:val="Título 2 Char1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tulo3Char1">
    <w:name w:val="Título 3 Char1"/>
    <w:rPr>
      <w:rFonts w:ascii="Cambria" w:eastAsia="Times New Roman" w:hAnsi="Cambria" w:cs="Times New Roman"/>
      <w:b/>
      <w:b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Ttulo5Char1">
    <w:name w:val="Título 5 Char1"/>
    <w:rPr>
      <w:rFonts w:ascii="Cambria" w:eastAsia="Times New Roman" w:hAnsi="Cambria" w:cs="Times New Roman"/>
      <w:color w:val="243F60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numbering" w:customStyle="1" w:styleId="Semlista2">
    <w:name w:val="Sem lista2"/>
    <w:next w:val="Semlista"/>
    <w:qFormat/>
  </w:style>
  <w:style w:type="table" w:customStyle="1" w:styleId="TableNormal0">
    <w:name w:val="Table Normal"/>
    <w:next w:val="Table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pPr>
      <w:widowControl w:val="0"/>
      <w:spacing w:after="0" w:line="240" w:lineRule="auto"/>
    </w:pPr>
    <w:rPr>
      <w:lang w:val="en-US"/>
    </w:rPr>
  </w:style>
  <w:style w:type="table" w:customStyle="1" w:styleId="Tabelacomgrade1">
    <w:name w:val="Tabela com grade1"/>
    <w:basedOn w:val="Tabelanormal"/>
    <w:next w:val="Tabelacomgrade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1">
    <w:name w:val="Normal11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  <w:lang w:eastAsia="ar-SA"/>
    </w:rPr>
  </w:style>
  <w:style w:type="character" w:styleId="HiperlinkVisitado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SemEspaamentoChar">
    <w:name w:val="Sem Espaçamento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Commarcadores">
    <w:name w:val="List Bullet"/>
    <w:basedOn w:val="Normal"/>
    <w:qFormat/>
    <w:pPr>
      <w:numPr>
        <w:numId w:val="2"/>
      </w:numPr>
      <w:ind w:left="-1" w:hanging="1"/>
      <w:contextualSpacing/>
    </w:p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rPr>
      <w:rFonts w:ascii="Calibri" w:eastAsia="Calibri" w:hAnsi="Calibri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Calibri" w:eastAsia="Calibri" w:hAnsi="Calibri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dice">
    <w:name w:val="Índice"/>
    <w:basedOn w:val="Normal"/>
    <w:pPr>
      <w:suppressLineNumbers/>
      <w:suppressAutoHyphens w:val="0"/>
      <w:spacing w:after="0" w:line="240" w:lineRule="auto"/>
    </w:pPr>
    <w:rPr>
      <w:rFonts w:ascii="Arial" w:eastAsia="Times New Roman" w:hAnsi="Arial" w:cs="Tahoma"/>
      <w:sz w:val="24"/>
      <w:szCs w:val="20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cs-name">
    <w:name w:val="specs-name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cs-value">
    <w:name w:val="specs-value"/>
    <w:rPr>
      <w:w w:val="100"/>
      <w:position w:val="-1"/>
      <w:effect w:val="none"/>
      <w:vertAlign w:val="baseline"/>
      <w:cs w:val="0"/>
      <w:em w:val="none"/>
    </w:rPr>
  </w:style>
  <w:style w:type="character" w:customStyle="1" w:styleId="kaj">
    <w:name w:val="_kaj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4Char">
    <w:name w:val="Título 4 Char"/>
    <w:rPr>
      <w:rFonts w:ascii="Times New Roman" w:eastAsia="Times New Roman" w:hAnsi="Times New Roman" w:cs="Times New Roman"/>
      <w:b/>
      <w:iCs/>
      <w:color w:val="000000"/>
      <w:w w:val="100"/>
      <w:position w:val="-1"/>
      <w:szCs w:val="24"/>
      <w:effect w:val="none"/>
      <w:vertAlign w:val="baseline"/>
      <w:cs w:val="0"/>
      <w:em w:val="none"/>
      <w:lang w:eastAsia="pt-BR"/>
    </w:rPr>
  </w:style>
  <w:style w:type="paragraph" w:styleId="Recuodecorpodetexto2">
    <w:name w:val="Body Text Indent 2"/>
    <w:basedOn w:val="Normal"/>
    <w:qFormat/>
    <w:pPr>
      <w:spacing w:after="120" w:line="480" w:lineRule="auto"/>
      <w:ind w:left="283"/>
    </w:pPr>
  </w:style>
  <w:style w:type="character" w:customStyle="1" w:styleId="Recuodecorpodetexto2Char">
    <w:name w:val="Recuo de corpo de texto 2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TxBrp9">
    <w:name w:val="TxBr_p9"/>
    <w:basedOn w:val="Normal"/>
    <w:pPr>
      <w:widowControl w:val="0"/>
      <w:autoSpaceDE w:val="0"/>
      <w:autoSpaceDN w:val="0"/>
      <w:adjustRightInd w:val="0"/>
      <w:spacing w:after="0" w:line="334" w:lineRule="atLeast"/>
      <w:ind w:left="918"/>
    </w:pPr>
    <w:rPr>
      <w:rFonts w:ascii="Times New Roman" w:eastAsia="Times New Roman" w:hAnsi="Times New Roman"/>
      <w:sz w:val="24"/>
      <w:szCs w:val="24"/>
      <w:lang w:val="en-US" w:eastAsia="pt-BR"/>
    </w:rPr>
  </w:style>
  <w:style w:type="paragraph" w:customStyle="1" w:styleId="TxBrp10">
    <w:name w:val="TxBr_p10"/>
    <w:basedOn w:val="Normal"/>
    <w:pPr>
      <w:widowControl w:val="0"/>
      <w:autoSpaceDE w:val="0"/>
      <w:autoSpaceDN w:val="0"/>
      <w:adjustRightInd w:val="0"/>
      <w:spacing w:after="0" w:line="328" w:lineRule="atLeast"/>
      <w:ind w:left="131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paragraph" w:customStyle="1" w:styleId="TxBrp5">
    <w:name w:val="TxBr_p5"/>
    <w:basedOn w:val="Normal"/>
    <w:pPr>
      <w:widowControl w:val="0"/>
      <w:autoSpaceDE w:val="0"/>
      <w:autoSpaceDN w:val="0"/>
      <w:adjustRightInd w:val="0"/>
      <w:spacing w:after="0" w:line="328" w:lineRule="atLeast"/>
      <w:ind w:left="3492" w:hanging="2857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paragraph" w:customStyle="1" w:styleId="TxBrp6">
    <w:name w:val="TxBr_p6"/>
    <w:basedOn w:val="Normal"/>
    <w:pPr>
      <w:widowControl w:val="0"/>
      <w:autoSpaceDE w:val="0"/>
      <w:autoSpaceDN w:val="0"/>
      <w:adjustRightInd w:val="0"/>
      <w:spacing w:after="0" w:line="240" w:lineRule="atLeast"/>
      <w:ind w:left="4938" w:hanging="1446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paragraph" w:customStyle="1" w:styleId="TxBrp7">
    <w:name w:val="TxBr_p7"/>
    <w:basedOn w:val="Normal"/>
    <w:pPr>
      <w:widowControl w:val="0"/>
      <w:autoSpaceDE w:val="0"/>
      <w:autoSpaceDN w:val="0"/>
      <w:adjustRightInd w:val="0"/>
      <w:spacing w:after="0" w:line="328" w:lineRule="atLeast"/>
      <w:ind w:left="97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paragraph" w:customStyle="1" w:styleId="TxBrp13">
    <w:name w:val="TxBr_p13"/>
    <w:basedOn w:val="Normal"/>
    <w:pPr>
      <w:widowControl w:val="0"/>
      <w:autoSpaceDE w:val="0"/>
      <w:autoSpaceDN w:val="0"/>
      <w:adjustRightInd w:val="0"/>
      <w:spacing w:after="0" w:line="240" w:lineRule="atLeast"/>
      <w:ind w:left="931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paragraph" w:styleId="Corpodetexto2">
    <w:name w:val="Body Text 2"/>
    <w:basedOn w:val="Normal"/>
    <w:pPr>
      <w:framePr w:hSpace="141" w:wrap="around" w:vAnchor="text" w:hAnchor="margin" w:y="304"/>
      <w:spacing w:after="0" w:line="240" w:lineRule="auto"/>
      <w:jc w:val="both"/>
    </w:pPr>
    <w:rPr>
      <w:rFonts w:ascii="Times New Roman" w:eastAsia="Times New Roman" w:hAnsi="Times New Roman"/>
      <w:bCs/>
      <w:iCs/>
      <w:color w:val="000000"/>
      <w:sz w:val="24"/>
      <w:szCs w:val="24"/>
      <w:lang w:eastAsia="pt-BR"/>
    </w:rPr>
  </w:style>
  <w:style w:type="character" w:customStyle="1" w:styleId="Corpodetexto2Char">
    <w:name w:val="Corpo de texto 2 Char"/>
    <w:rPr>
      <w:rFonts w:ascii="Times New Roman" w:eastAsia="Times New Roman" w:hAnsi="Times New Roman" w:cs="Times New Roman"/>
      <w:bCs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pt-BR"/>
    </w:rPr>
  </w:style>
  <w:style w:type="paragraph" w:styleId="Corpodetexto3">
    <w:name w:val="Body Text 3"/>
    <w:basedOn w:val="Normal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character" w:customStyle="1" w:styleId="Corpodetexto3Char">
    <w:name w:val="Corpo de texto 3 Char"/>
    <w:rPr>
      <w:rFonts w:ascii="Times New Roman" w:eastAsia="Times New Roman" w:hAnsi="Times New Roman" w:cs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pt-BR"/>
    </w:rPr>
  </w:style>
  <w:style w:type="paragraph" w:customStyle="1" w:styleId="WW-Corpodetexto3">
    <w:name w:val="WW-Corpo de texto 3"/>
    <w:basedOn w:val="Normal"/>
    <w:pPr>
      <w:suppressAutoHyphens w:val="0"/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Corpodetexto23">
    <w:name w:val="Corpo de texto 23"/>
    <w:basedOn w:val="Normal"/>
    <w:pPr>
      <w:overflowPunct w:val="0"/>
      <w:autoSpaceDE w:val="0"/>
      <w:autoSpaceDN w:val="0"/>
      <w:adjustRightInd w:val="0"/>
      <w:spacing w:after="0" w:line="240" w:lineRule="auto"/>
      <w:ind w:firstLine="1134"/>
      <w:jc w:val="both"/>
    </w:pPr>
    <w:rPr>
      <w:rFonts w:ascii="Bookman Old Style" w:eastAsia="Times New Roman" w:hAnsi="Bookman Old Style"/>
      <w:sz w:val="26"/>
      <w:szCs w:val="20"/>
      <w:lang w:eastAsia="pt-BR"/>
    </w:rPr>
  </w:style>
  <w:style w:type="table" w:customStyle="1" w:styleId="Tabelacomgrade2">
    <w:name w:val="Tabela com grade2"/>
    <w:basedOn w:val="Tabelanormal"/>
    <w:next w:val="Tabelacomgrade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epargpadro6">
    <w:name w:val="Fonte parág. padrão6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Times New Roman" w:eastAsia="Times New Roman" w:hAnsi="Times New Roman" w:cs="Times New Roman"/>
      <w:b/>
      <w:bCs/>
      <w:w w:val="100"/>
      <w:position w:val="-1"/>
      <w:effect w:val="none"/>
      <w:vertAlign w:val="baseline"/>
      <w:cs w:val="0"/>
      <w:em w:val="none"/>
      <w:lang w:val="en-US"/>
    </w:rPr>
  </w:style>
  <w:style w:type="character" w:customStyle="1" w:styleId="Ttulo7Char">
    <w:name w:val="Título 7 Char"/>
    <w:rPr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Ttulo8Char">
    <w:name w:val="Título 8 Char"/>
    <w:rPr>
      <w:i/>
      <w:i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Ttulo9Char">
    <w:name w:val="Título 9 Char"/>
    <w:rPr>
      <w:rFonts w:ascii="Cambria" w:eastAsia="Times New Roman" w:hAnsi="Cambria" w:cs="Times New Roman"/>
      <w:w w:val="100"/>
      <w:position w:val="-1"/>
      <w:effect w:val="none"/>
      <w:vertAlign w:val="baseline"/>
      <w:cs w:val="0"/>
      <w:em w:val="none"/>
      <w:lang w:val="en-US"/>
    </w:rPr>
  </w:style>
  <w:style w:type="paragraph" w:customStyle="1" w:styleId="Textbody">
    <w:name w:val="Text body"/>
    <w:basedOn w:val="Normal"/>
    <w:pPr>
      <w:suppressAutoHyphens w:val="0"/>
      <w:autoSpaceDN w:val="0"/>
      <w:spacing w:after="120" w:line="240" w:lineRule="auto"/>
      <w:textAlignment w:val="baseline"/>
    </w:pPr>
    <w:rPr>
      <w:rFonts w:ascii="Arial" w:eastAsia="Times New Roman" w:hAnsi="Arial" w:cs="Arial"/>
      <w:kern w:val="3"/>
      <w:sz w:val="24"/>
      <w:szCs w:val="20"/>
      <w:lang w:eastAsia="zh-CN"/>
    </w:rPr>
  </w:style>
  <w:style w:type="paragraph" w:customStyle="1" w:styleId="Contedodetabela">
    <w:name w:val="Conteúdo de tabela"/>
    <w:basedOn w:val="Normal"/>
    <w:pPr>
      <w:suppressLineNumbers/>
      <w:suppressAutoHyphens w:val="0"/>
      <w:autoSpaceDN w:val="0"/>
      <w:spacing w:after="0" w:line="240" w:lineRule="auto"/>
    </w:pPr>
    <w:rPr>
      <w:rFonts w:ascii="Arial" w:eastAsia="Times New Roman" w:hAnsi="Arial" w:cs="Arial"/>
      <w:kern w:val="3"/>
      <w:sz w:val="24"/>
      <w:szCs w:val="20"/>
      <w:lang w:eastAsia="zh-CN"/>
    </w:rPr>
  </w:style>
  <w:style w:type="paragraph" w:customStyle="1" w:styleId="Nvel2">
    <w:name w:val="Nível 2"/>
    <w:basedOn w:val="Normal"/>
    <w:next w:val="Normal"/>
    <w:pPr>
      <w:spacing w:after="120" w:line="240" w:lineRule="auto"/>
      <w:jc w:val="both"/>
    </w:pPr>
    <w:rPr>
      <w:rFonts w:ascii="Arial" w:eastAsia="Times New Roman" w:hAnsi="Arial"/>
      <w:b/>
      <w:sz w:val="24"/>
      <w:szCs w:val="20"/>
      <w:lang w:eastAsia="pt-BR"/>
    </w:rPr>
  </w:style>
  <w:style w:type="character" w:customStyle="1" w:styleId="normalchar1">
    <w:name w:val="normal__char1"/>
    <w:rPr>
      <w:rFonts w:ascii="Arial" w:hAnsi="Arial" w:cs="Arial" w:hint="default"/>
      <w:dstrike w:val="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character" w:customStyle="1" w:styleId="apple-style-span">
    <w:name w:val="apple-style-span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itao">
    <w:name w:val="Quote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rPr>
      <w:rFonts w:ascii="Arial" w:eastAsia="Calibri" w:hAnsi="Arial" w:cs="Tahoma"/>
      <w:i/>
      <w:iCs/>
      <w:color w:val="000000"/>
      <w:w w:val="100"/>
      <w:position w:val="-1"/>
      <w:sz w:val="20"/>
      <w:szCs w:val="24"/>
      <w:effect w:val="none"/>
      <w:shd w:val="clear" w:color="auto" w:fill="FFFFCC"/>
      <w:vertAlign w:val="baseline"/>
      <w:cs w:val="0"/>
      <w:em w:val="none"/>
    </w:rPr>
  </w:style>
  <w:style w:type="paragraph" w:styleId="Commarcadores5">
    <w:name w:val="List Bullet 5"/>
    <w:basedOn w:val="Normal"/>
    <w:pPr>
      <w:tabs>
        <w:tab w:val="num" w:pos="720"/>
      </w:tabs>
      <w:spacing w:after="0" w:line="240" w:lineRule="auto"/>
      <w:contextualSpacing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rPr>
      <w:szCs w:val="20"/>
    </w:rPr>
  </w:style>
  <w:style w:type="character" w:customStyle="1" w:styleId="citao2Char">
    <w:name w:val="citação 2 Char"/>
    <w:rPr>
      <w:rFonts w:ascii="Arial" w:eastAsia="Calibri" w:hAnsi="Arial" w:cs="Tahoma"/>
      <w:i/>
      <w:iCs/>
      <w:color w:val="000000"/>
      <w:w w:val="100"/>
      <w:position w:val="-1"/>
      <w:sz w:val="20"/>
      <w:szCs w:val="20"/>
      <w:effect w:val="none"/>
      <w:shd w:val="clear" w:color="auto" w:fill="FFFFCC"/>
      <w:vertAlign w:val="baseline"/>
      <w:cs w:val="0"/>
      <w:em w:val="none"/>
    </w:rPr>
  </w:style>
  <w:style w:type="numbering" w:customStyle="1" w:styleId="Estilo2">
    <w:name w:val="Estilo2"/>
  </w:style>
  <w:style w:type="numbering" w:customStyle="1" w:styleId="Estilo3">
    <w:name w:val="Estilo3"/>
  </w:style>
  <w:style w:type="numbering" w:customStyle="1" w:styleId="Estilo4">
    <w:name w:val="Estilo4"/>
  </w:style>
  <w:style w:type="numbering" w:customStyle="1" w:styleId="Estilo5">
    <w:name w:val="Estilo5"/>
  </w:style>
  <w:style w:type="numbering" w:customStyle="1" w:styleId="Estilo6">
    <w:name w:val="Estilo6"/>
  </w:style>
  <w:style w:type="paragraph" w:customStyle="1" w:styleId="Nivel01">
    <w:name w:val="Nivel 01"/>
    <w:basedOn w:val="Ttulo1"/>
    <w:next w:val="Normal"/>
    <w:pPr>
      <w:keepLines/>
      <w:numPr>
        <w:numId w:val="0"/>
      </w:numPr>
      <w:tabs>
        <w:tab w:val="left" w:pos="567"/>
        <w:tab w:val="num" w:pos="720"/>
      </w:tabs>
      <w:spacing w:before="240" w:after="0" w:line="240" w:lineRule="auto"/>
      <w:ind w:leftChars="-1" w:left="-1" w:hangingChars="1" w:hanging="1"/>
    </w:pPr>
    <w:rPr>
      <w:rFonts w:ascii="Ecofont_Spranq_eco_Sans" w:hAnsi="Ecofont_Spranq_eco_Sans" w:cs="Times New Roman"/>
      <w:b/>
      <w:bCs/>
      <w:color w:val="000000"/>
      <w:spacing w:val="5"/>
      <w:kern w:val="28"/>
      <w:szCs w:val="20"/>
      <w:lang w:eastAsia="pt-BR"/>
    </w:rPr>
  </w:style>
  <w:style w:type="paragraph" w:customStyle="1" w:styleId="Nivel01Titulo">
    <w:name w:val="Nivel_01_Titulo"/>
    <w:basedOn w:val="Nivel01"/>
    <w:pPr>
      <w:jc w:val="left"/>
    </w:pPr>
    <w:rPr>
      <w:sz w:val="52"/>
      <w:szCs w:val="52"/>
    </w:rPr>
  </w:style>
  <w:style w:type="character" w:customStyle="1" w:styleId="TtuloChar">
    <w:name w:val="Título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  <w:lang w:eastAsia="pt-BR"/>
    </w:rPr>
  </w:style>
  <w:style w:type="character" w:customStyle="1" w:styleId="Nivel01Char">
    <w:name w:val="Nivel 01 Char"/>
    <w:rPr>
      <w:rFonts w:ascii="Ecofont_Spranq_eco_Sans" w:eastAsia="Times New Roman" w:hAnsi="Ecofont_Spranq_eco_Sans"/>
      <w:b/>
      <w:bCs/>
      <w:color w:val="000000"/>
      <w:spacing w:val="5"/>
      <w:w w:val="100"/>
      <w:kern w:val="28"/>
      <w:position w:val="-1"/>
      <w:effect w:val="none"/>
      <w:vertAlign w:val="baseline"/>
      <w:cs w:val="0"/>
      <w:em w:val="none"/>
    </w:rPr>
  </w:style>
  <w:style w:type="character" w:customStyle="1" w:styleId="Nivel01TituloChar">
    <w:name w:val="Nivel_01_Titulo Char"/>
    <w:rPr>
      <w:rFonts w:ascii="Ecofont_Spranq_eco_Sans" w:eastAsia="Times New Roman" w:hAnsi="Ecofont_Spranq_eco_Sans"/>
      <w:b/>
      <w:bCs/>
      <w:color w:val="000000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/>
      <w:ind w:leftChars="-1" w:left="-1" w:hangingChars="1" w:hanging="1"/>
      <w:jc w:val="both"/>
      <w:textDirection w:val="btLr"/>
      <w:textAlignment w:val="baseline"/>
      <w:outlineLvl w:val="0"/>
    </w:pPr>
    <w:rPr>
      <w:rFonts w:ascii="Ecofont_Spranq_eco_Sans" w:eastAsia="WenQuanYi Micro Hei" w:hAnsi="Ecofont_Spranq_eco_Sans" w:cs="Lohit Hindi"/>
      <w:position w:val="-1"/>
      <w:szCs w:val="24"/>
      <w:lang w:eastAsia="zh-CN" w:bidi="hi-IN"/>
    </w:r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customStyle="1" w:styleId="Nivel1">
    <w:name w:val="Nivel1"/>
    <w:basedOn w:val="Ttulo1"/>
    <w:pPr>
      <w:keepLines/>
      <w:numPr>
        <w:numId w:val="0"/>
      </w:numPr>
      <w:spacing w:before="480" w:after="0"/>
      <w:ind w:leftChars="-1" w:left="357" w:hangingChars="1" w:hanging="357"/>
    </w:pPr>
    <w:rPr>
      <w:rFonts w:ascii="Arial" w:hAnsi="Arial" w:cs="Arial"/>
      <w:b/>
      <w:color w:val="000000"/>
      <w:sz w:val="28"/>
      <w:szCs w:val="28"/>
      <w:lang w:eastAsia="pt-BR"/>
    </w:rPr>
  </w:style>
  <w:style w:type="character" w:customStyle="1" w:styleId="Nivel1Char">
    <w:name w:val="Nivel1 Char"/>
    <w:rPr>
      <w:rFonts w:ascii="Arial" w:eastAsia="Times New Roman" w:hAnsi="Arial" w:cs="Arial"/>
      <w:b/>
      <w:color w:val="000000"/>
      <w:w w:val="100"/>
      <w:position w:val="-1"/>
      <w:sz w:val="28"/>
      <w:szCs w:val="28"/>
      <w:effect w:val="none"/>
      <w:vertAlign w:val="baseline"/>
      <w:cs w:val="0"/>
      <w:em w:val="none"/>
      <w:lang w:eastAsia="pt-BR"/>
    </w:rPr>
  </w:style>
  <w:style w:type="paragraph" w:customStyle="1" w:styleId="PargrafodaLista1">
    <w:name w:val="Parágrafo da Lista1"/>
    <w:basedOn w:val="Normal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pPr>
      <w:numPr>
        <w:ilvl w:val="1"/>
        <w:numId w:val="10"/>
      </w:numPr>
      <w:suppressAutoHyphens/>
      <w:spacing w:before="120" w:after="120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Arial Unicode MS" w:hAnsi="Ecofont_Spranq_eco_Sans"/>
      <w:position w:val="-1"/>
    </w:rPr>
  </w:style>
  <w:style w:type="paragraph" w:customStyle="1" w:styleId="Nivel10">
    <w:name w:val="Nivel 1"/>
    <w:basedOn w:val="Nivel2"/>
    <w:next w:val="Nivel2"/>
    <w:pPr>
      <w:numPr>
        <w:ilvl w:val="0"/>
        <w:numId w:val="0"/>
      </w:numPr>
      <w:tabs>
        <w:tab w:val="num" w:pos="720"/>
      </w:tabs>
      <w:ind w:leftChars="-1" w:left="-1" w:hangingChars="1" w:hanging="1"/>
    </w:pPr>
    <w:rPr>
      <w:rFonts w:cs="Arial"/>
      <w:b/>
    </w:rPr>
  </w:style>
  <w:style w:type="paragraph" w:customStyle="1" w:styleId="Nivel3">
    <w:name w:val="Nivel 3"/>
    <w:basedOn w:val="Nivel2"/>
    <w:pPr>
      <w:numPr>
        <w:ilvl w:val="2"/>
      </w:numPr>
      <w:ind w:left="-1" w:hanging="1"/>
    </w:pPr>
    <w:rPr>
      <w:rFonts w:cs="Arial"/>
      <w:color w:val="000000"/>
    </w:rPr>
  </w:style>
  <w:style w:type="paragraph" w:customStyle="1" w:styleId="Nivel4">
    <w:name w:val="Nivel 4"/>
    <w:basedOn w:val="Nivel3"/>
    <w:pPr>
      <w:numPr>
        <w:ilvl w:val="3"/>
      </w:numPr>
      <w:ind w:left="-1" w:hanging="1"/>
    </w:pPr>
    <w:rPr>
      <w:color w:val="auto"/>
    </w:rPr>
  </w:style>
  <w:style w:type="paragraph" w:customStyle="1" w:styleId="Nivel5">
    <w:name w:val="Nivel 5"/>
    <w:basedOn w:val="Nivel4"/>
    <w:pPr>
      <w:numPr>
        <w:ilvl w:val="4"/>
      </w:numPr>
      <w:tabs>
        <w:tab w:val="num" w:pos="1080"/>
      </w:tabs>
      <w:ind w:left="3348" w:hanging="1080"/>
    </w:pPr>
  </w:style>
  <w:style w:type="character" w:customStyle="1" w:styleId="Nivel4Char">
    <w:name w:val="Nivel 4 Char"/>
    <w:rPr>
      <w:rFonts w:ascii="Ecofont_Spranq_eco_Sans" w:eastAsia="Arial Unicode MS" w:hAnsi="Ecofont_Spranq_eco_Sans" w:cs="Arial"/>
      <w:w w:val="100"/>
      <w:position w:val="-1"/>
      <w:effect w:val="none"/>
      <w:vertAlign w:val="baseline"/>
      <w:cs w:val="0"/>
      <w:em w:val="none"/>
    </w:rPr>
  </w:style>
  <w:style w:type="paragraph" w:customStyle="1" w:styleId="textbody0">
    <w:name w:val="textbody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Standard">
    <w:name w:val="Standard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eastAsia="Times New Roman" w:hAnsi="Arial" w:cs="Arial"/>
      <w:kern w:val="3"/>
      <w:position w:val="-1"/>
      <w:sz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tulo10">
    <w:name w:val="Título1"/>
    <w:basedOn w:val="Standard"/>
    <w:next w:val="Textbody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Contedodetabela"/>
    <w:pPr>
      <w:jc w:val="center"/>
      <w:textAlignment w:val="baseline"/>
    </w:pPr>
    <w:rPr>
      <w:b/>
      <w:bCs/>
    </w:rPr>
  </w:style>
  <w:style w:type="paragraph" w:customStyle="1" w:styleId="Contedodequadro">
    <w:name w:val="Conteúdo de quadro"/>
    <w:basedOn w:val="Textbody"/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">
    <w:name w:val="WW-Absatz-Standardschriftart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">
    <w:name w:val="WW-Absatz-Standardschriftart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">
    <w:name w:val="WW-Absatz-Standardschriftart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">
    <w:name w:val="WW-Absatz-Standardschriftart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">
    <w:name w:val="WW-Absatz-Standardschriftart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">
    <w:name w:val="WW-Absatz-Standardschriftart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">
    <w:name w:val="WW-Absatz-Standardschriftart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">
    <w:name w:val="WW-Absatz-Standardschriftart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">
    <w:name w:val="WW-Absatz-Standardschriftart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">
    <w:name w:val="WW-Absatz-Standardschriftart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">
    <w:name w:val="WW-Absatz-Standardschriftart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">
    <w:name w:val="WW-Absatz-Standardschriftart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">
    <w:name w:val="WW-Absatz-Standardschriftart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">
    <w:name w:val="WW-Absatz-Standardschriftart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">
    <w:name w:val="WW-Absatz-Standardschriftart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">
    <w:name w:val="WW-Absatz-Standardschriftart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">
    <w:name w:val="WW-Absatz-Standardschriftart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">
    <w:name w:val="WW-Absatz-Standardschriftart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">
    <w:name w:val="WW-Absatz-Standardschriftart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">
    <w:name w:val="WW-Absatz-Standardschriftart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">
    <w:name w:val="WW-Absatz-Standardschriftart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">
    <w:name w:val="WW-Absatz-Standardschriftart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">
    <w:name w:val="WW-Absatz-Standardschriftart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">
    <w:name w:val="WW-Absatz-Standardschriftart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">
    <w:name w:val="WW-Absatz-Standardschriftart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">
    <w:name w:val="WW-Absatz-Standardschriftart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NumberingSymbols">
    <w:name w:val="Numbering Symbols"/>
    <w:rPr>
      <w:w w:val="100"/>
      <w:position w:val="-1"/>
      <w:effect w:val="none"/>
      <w:vertAlign w:val="baseline"/>
      <w:cs w:val="0"/>
      <w:em w:val="none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pt-BR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pt-BR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pt-BR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ontstyle01">
    <w:name w:val="fontstyle01"/>
    <w:rPr>
      <w:rFonts w:ascii="Helvetica" w:hAnsi="Helvetica" w:hint="default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Helvetica-Bold" w:hAnsi="Helvetica-Bold" w:hint="default"/>
      <w:b/>
      <w:bCs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LinkdaInternet">
    <w:name w:val="Link da Internet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roduto-caracteristica">
    <w:name w:val="produto-caracteristica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value">
    <w:name w:val="valu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name">
    <w:name w:val="nam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b/>
      <w:bCs/>
      <w:sz w:val="20"/>
      <w:szCs w:val="20"/>
      <w:lang w:eastAsia="pt-BR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/>
      <w:b/>
      <w:bCs/>
      <w:sz w:val="20"/>
      <w:szCs w:val="20"/>
      <w:lang w:eastAsia="pt-BR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alatino Linotype" w:eastAsia="Times New Roman" w:hAnsi="Palatino Linotype"/>
      <w:b/>
      <w:bCs/>
      <w:sz w:val="24"/>
      <w:szCs w:val="24"/>
      <w:lang w:eastAsia="pt-BR"/>
    </w:rPr>
  </w:style>
  <w:style w:type="paragraph" w:customStyle="1" w:styleId="xl79">
    <w:name w:val="xl79"/>
    <w:basedOn w:val="Normal"/>
    <w:pPr>
      <w:spacing w:before="100" w:beforeAutospacing="1" w:after="100" w:afterAutospacing="1" w:line="240" w:lineRule="auto"/>
      <w:textAlignment w:val="center"/>
    </w:pPr>
    <w:rPr>
      <w:rFonts w:ascii="Palatino Linotype" w:eastAsia="Times New Roman" w:hAnsi="Palatino Linotype"/>
      <w:sz w:val="20"/>
      <w:szCs w:val="20"/>
      <w:lang w:eastAsia="pt-BR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06SI9hbCnrvpaF9uJYsqkZ67Ig==">CgMxLjA4AHIhMWwxRExnRENRX21ZQkJiNDVIbGNFRUNHaHAtVjNULUl2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1888</Words>
  <Characters>10200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Usuario</cp:lastModifiedBy>
  <cp:revision>3</cp:revision>
  <dcterms:created xsi:type="dcterms:W3CDTF">2025-11-12T13:02:00Z</dcterms:created>
  <dcterms:modified xsi:type="dcterms:W3CDTF">2025-11-12T13:35:00Z</dcterms:modified>
</cp:coreProperties>
</file>